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22"/>
          <w:szCs w:val="22"/>
        </w:rPr>
      </w:pPr>
      <w:bookmarkStart w:id="0" w:name="_Hlk22059153"/>
      <w:bookmarkEnd w:id="0"/>
      <w:bookmarkStart w:id="1" w:name="_Toc4102547"/>
    </w:p>
    <w:p>
      <w:pPr>
        <w:rPr>
          <w:rFonts w:ascii="仿宋" w:hAnsi="仿宋" w:eastAsia="仿宋"/>
          <w:sz w:val="72"/>
          <w:szCs w:val="72"/>
        </w:rPr>
      </w:pPr>
    </w:p>
    <w:p>
      <w:pPr>
        <w:jc w:val="center"/>
        <w:rPr>
          <w:rFonts w:ascii="黑体" w:hAnsi="黑体" w:eastAsia="黑体"/>
          <w:b/>
          <w:bCs/>
          <w:sz w:val="72"/>
          <w:szCs w:val="72"/>
        </w:rPr>
      </w:pPr>
      <w:bookmarkStart w:id="2" w:name="_Toc4102540"/>
      <w:bookmarkStart w:id="3" w:name="_Toc22039770"/>
      <w:bookmarkStart w:id="4" w:name="_Toc22041274"/>
      <w:bookmarkStart w:id="5" w:name="_Toc3998820"/>
      <w:bookmarkStart w:id="6" w:name="_Toc3936699"/>
      <w:r>
        <w:rPr>
          <w:rFonts w:hint="eastAsia" w:ascii="黑体" w:hAnsi="黑体" w:eastAsia="黑体"/>
          <w:b/>
          <w:bCs/>
          <w:sz w:val="72"/>
          <w:szCs w:val="72"/>
          <w:lang w:eastAsia="zh-CN"/>
        </w:rPr>
        <w:t>“</w:t>
      </w:r>
      <w:r>
        <w:rPr>
          <w:rFonts w:hint="eastAsia" w:ascii="黑体" w:hAnsi="黑体" w:eastAsia="黑体"/>
          <w:b/>
          <w:bCs/>
          <w:sz w:val="72"/>
          <w:szCs w:val="72"/>
        </w:rPr>
        <w:t>思想政治实践</w:t>
      </w:r>
      <w:r>
        <w:rPr>
          <w:rFonts w:hint="eastAsia" w:ascii="黑体" w:hAnsi="黑体" w:eastAsia="黑体"/>
          <w:b/>
          <w:bCs/>
          <w:sz w:val="72"/>
          <w:szCs w:val="72"/>
          <w:lang w:eastAsia="zh-CN"/>
        </w:rPr>
        <w:t>”</w:t>
      </w:r>
      <w:r>
        <w:rPr>
          <w:rFonts w:hint="eastAsia" w:ascii="黑体" w:hAnsi="黑体" w:eastAsia="黑体"/>
          <w:b/>
          <w:bCs/>
          <w:sz w:val="72"/>
          <w:szCs w:val="72"/>
        </w:rPr>
        <w:t>课程</w:t>
      </w:r>
    </w:p>
    <w:p>
      <w:pPr>
        <w:jc w:val="center"/>
        <w:rPr>
          <w:rFonts w:ascii="黑体" w:hAnsi="黑体" w:eastAsia="黑体"/>
          <w:b/>
          <w:bCs/>
          <w:sz w:val="72"/>
          <w:szCs w:val="72"/>
        </w:rPr>
      </w:pPr>
      <w:r>
        <w:rPr>
          <w:rFonts w:hint="eastAsia" w:ascii="黑体" w:hAnsi="黑体" w:eastAsia="黑体"/>
          <w:b/>
          <w:bCs/>
          <w:sz w:val="72"/>
          <w:szCs w:val="72"/>
        </w:rPr>
        <w:t>选课手册</w:t>
      </w:r>
      <w:bookmarkEnd w:id="2"/>
      <w:bookmarkEnd w:id="3"/>
      <w:bookmarkEnd w:id="4"/>
      <w:bookmarkEnd w:id="5"/>
      <w:bookmarkEnd w:id="6"/>
    </w:p>
    <w:p>
      <w:pP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jc w:val="center"/>
        <w:rPr>
          <w:rFonts w:ascii="仿宋" w:hAnsi="仿宋" w:eastAsia="仿宋"/>
        </w:rPr>
      </w:pPr>
    </w:p>
    <w:p>
      <w:pPr>
        <w:rPr>
          <w:rFonts w:ascii="仿宋" w:hAnsi="仿宋" w:eastAsia="仿宋"/>
        </w:rPr>
      </w:pPr>
    </w:p>
    <w:p>
      <w:pPr>
        <w:spacing w:line="400" w:lineRule="exact"/>
        <w:jc w:val="center"/>
        <w:rPr>
          <w:rFonts w:ascii="华文中宋" w:hAnsi="华文中宋" w:eastAsia="华文中宋"/>
          <w:b/>
          <w:sz w:val="32"/>
        </w:rPr>
      </w:pPr>
      <w:r>
        <w:rPr>
          <w:rFonts w:hint="eastAsia" w:ascii="华文中宋" w:hAnsi="华文中宋" w:eastAsia="华文中宋"/>
          <w:b/>
          <w:sz w:val="32"/>
        </w:rPr>
        <w:t>思想政治实践课程建设领导小组办公室</w:t>
      </w:r>
    </w:p>
    <w:p>
      <w:pPr>
        <w:spacing w:line="400" w:lineRule="exact"/>
        <w:jc w:val="center"/>
        <w:rPr>
          <w:rFonts w:ascii="华文中宋" w:hAnsi="华文中宋" w:eastAsia="华文中宋"/>
          <w:b/>
          <w:sz w:val="32"/>
        </w:rPr>
      </w:pPr>
    </w:p>
    <w:p>
      <w:pPr>
        <w:spacing w:line="400" w:lineRule="exact"/>
        <w:jc w:val="center"/>
        <w:rPr>
          <w:rFonts w:ascii="仿宋" w:hAnsi="仿宋" w:eastAsia="仿宋"/>
        </w:rPr>
        <w:sectPr>
          <w:footerReference r:id="rId3" w:type="default"/>
          <w:pgSz w:w="11900" w:h="16840"/>
          <w:pgMar w:top="1440" w:right="1800" w:bottom="1440" w:left="1800" w:header="851" w:footer="992" w:gutter="0"/>
          <w:pgNumType w:start="1"/>
          <w:cols w:space="425" w:num="1"/>
          <w:titlePg/>
          <w:docGrid w:type="lines" w:linePitch="423" w:charSpace="0"/>
        </w:sectPr>
      </w:pPr>
      <w:r>
        <w:rPr>
          <w:rFonts w:hint="eastAsia" w:ascii="华文中宋" w:hAnsi="华文中宋" w:eastAsia="华文中宋"/>
          <w:b/>
          <w:sz w:val="32"/>
        </w:rPr>
        <w:t>二〇二四年三月</w:t>
      </w:r>
    </w:p>
    <w:sdt>
      <w:sdtPr>
        <w:rPr>
          <w:rFonts w:ascii="仿宋" w:hAnsi="仿宋" w:eastAsia="仿宋" w:cs="宋体"/>
          <w:b/>
          <w:smallCaps/>
          <w:kern w:val="0"/>
          <w:sz w:val="28"/>
          <w:szCs w:val="28"/>
          <w:lang w:val="zh-CN"/>
        </w:rPr>
        <w:id w:val="2030360832"/>
        <w:docPartObj>
          <w:docPartGallery w:val="Table of Contents"/>
          <w:docPartUnique/>
        </w:docPartObj>
      </w:sdtPr>
      <w:sdtEndPr>
        <w:rPr>
          <w:rStyle w:val="9"/>
          <w:rFonts w:ascii="仿宋" w:hAnsi="仿宋" w:eastAsia="仿宋" w:cs="宋体"/>
          <w:b/>
          <w:smallCaps/>
          <w:color w:val="0563C1" w:themeColor="hyperlink"/>
          <w:kern w:val="0"/>
          <w:sz w:val="28"/>
          <w:szCs w:val="28"/>
          <w:u w:val="single"/>
          <w:lang w:val="en-US"/>
          <w14:textFill>
            <w14:solidFill>
              <w14:schemeClr w14:val="hlink"/>
            </w14:solidFill>
          </w14:textFill>
        </w:rPr>
      </w:sdtEndPr>
      <w:sdtContent>
        <w:p>
          <w:pPr>
            <w:rPr>
              <w:rFonts w:ascii="仿宋" w:hAnsi="仿宋" w:eastAsia="仿宋"/>
              <w:lang w:val="zh-CN"/>
            </w:rPr>
          </w:pPr>
        </w:p>
        <w:p>
          <w:pPr>
            <w:rPr>
              <w:rFonts w:ascii="仿宋" w:hAnsi="仿宋" w:eastAsia="仿宋"/>
              <w:lang w:val="zh-CN"/>
            </w:rPr>
          </w:pPr>
        </w:p>
        <w:p>
          <w:pPr>
            <w:rPr>
              <w:rFonts w:ascii="仿宋" w:hAnsi="仿宋" w:eastAsia="仿宋"/>
              <w:lang w:val="zh-CN"/>
            </w:rPr>
          </w:pPr>
        </w:p>
        <w:p>
          <w:pPr>
            <w:rPr>
              <w:rFonts w:ascii="仿宋" w:hAnsi="仿宋" w:eastAsia="仿宋"/>
              <w:lang w:val="zh-CN"/>
            </w:rPr>
          </w:pPr>
        </w:p>
        <w:p>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r>
            <w:rPr>
              <w:rFonts w:hint="eastAsia" w:ascii="华文中宋" w:hAnsi="华文中宋" w:eastAsia="华文中宋" w:cs="华文中宋"/>
              <w:b/>
              <w:bCs/>
              <w:color w:val="000000" w:themeColor="text1"/>
              <w:sz w:val="48"/>
              <w:szCs w:val="48"/>
              <w14:textFill>
                <w14:solidFill>
                  <w14:schemeClr w14:val="tx1"/>
                </w14:solidFill>
              </w14:textFill>
            </w:rPr>
            <w:t>目 录</w:t>
          </w:r>
        </w:p>
        <w:p>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p>
        <w:p>
          <w:pPr>
            <w:pStyle w:val="5"/>
            <w:rPr>
              <w:rFonts w:asciiTheme="minorHAnsi" w:hAnsiTheme="minorHAnsi" w:eastAsiaTheme="minorEastAsia" w:cstheme="minorBidi"/>
              <w:b w:val="0"/>
              <w:smallCaps w:val="0"/>
              <w:kern w:val="2"/>
              <w:sz w:val="21"/>
              <w:szCs w:val="22"/>
            </w:rPr>
          </w:pPr>
          <w:r>
            <w:fldChar w:fldCharType="begin"/>
          </w:r>
          <w:r>
            <w:instrText xml:space="preserve">TOC \o "1-3" \h \u </w:instrText>
          </w:r>
          <w:r>
            <w:fldChar w:fldCharType="separate"/>
          </w:r>
          <w:r>
            <w:fldChar w:fldCharType="begin"/>
          </w:r>
          <w:r>
            <w:instrText xml:space="preserve"> HYPERLINK \l "_Toc130753224" </w:instrText>
          </w:r>
          <w:r>
            <w:fldChar w:fldCharType="separate"/>
          </w:r>
          <w:r>
            <w:rPr>
              <w:rStyle w:val="9"/>
              <w:rFonts w:ascii="黑体" w:hAnsi="黑体" w:eastAsia="黑体" w:cs="黑体"/>
            </w:rPr>
            <w:t>一、 课程介绍</w:t>
          </w:r>
          <w:r>
            <w:tab/>
          </w:r>
          <w:r>
            <w:fldChar w:fldCharType="begin"/>
          </w:r>
          <w:r>
            <w:instrText xml:space="preserve"> PAGEREF _Toc130753224 \h </w:instrText>
          </w:r>
          <w:r>
            <w:fldChar w:fldCharType="separate"/>
          </w:r>
          <w:r>
            <w:t>1</w:t>
          </w:r>
          <w:r>
            <w:fldChar w:fldCharType="end"/>
          </w:r>
          <w:r>
            <w:fldChar w:fldCharType="end"/>
          </w:r>
        </w:p>
        <w:p>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"_Toc130753225" </w:instrText>
          </w:r>
          <w:r>
            <w:fldChar w:fldCharType="separate"/>
          </w:r>
          <w:r>
            <w:rPr>
              <w:rStyle w:val="9"/>
              <w:rFonts w:ascii="黑体" w:hAnsi="黑体" w:eastAsia="黑体" w:cs="黑体"/>
            </w:rPr>
            <w:t>二、 202</w:t>
          </w:r>
          <w:r>
            <w:rPr>
              <w:rStyle w:val="9"/>
              <w:rFonts w:hint="eastAsia" w:ascii="黑体" w:hAnsi="黑体" w:eastAsia="黑体" w:cs="黑体"/>
            </w:rPr>
            <w:t>3</w:t>
          </w:r>
          <w:r>
            <w:rPr>
              <w:rStyle w:val="9"/>
              <w:rFonts w:ascii="黑体" w:hAnsi="黑体" w:eastAsia="黑体" w:cs="黑体"/>
            </w:rPr>
            <w:t>-202</w:t>
          </w:r>
          <w:r>
            <w:rPr>
              <w:rStyle w:val="9"/>
              <w:rFonts w:hint="eastAsia" w:ascii="黑体" w:hAnsi="黑体" w:eastAsia="黑体" w:cs="黑体"/>
            </w:rPr>
            <w:t>4</w:t>
          </w:r>
          <w:r>
            <w:rPr>
              <w:rStyle w:val="9"/>
              <w:rFonts w:ascii="黑体" w:hAnsi="黑体" w:eastAsia="黑体" w:cs="黑体"/>
            </w:rPr>
            <w:t>学年课程安排</w:t>
          </w:r>
          <w:r>
            <w:tab/>
          </w:r>
          <w:r>
            <w:fldChar w:fldCharType="begin"/>
          </w:r>
          <w:r>
            <w:instrText xml:space="preserve"> PAGEREF _Toc130753225 \h </w:instrText>
          </w:r>
          <w:r>
            <w:fldChar w:fldCharType="separate"/>
          </w:r>
          <w:r>
            <w:t>2</w:t>
          </w:r>
          <w:r>
            <w:fldChar w:fldCharType="end"/>
          </w:r>
          <w:r>
            <w:fldChar w:fldCharType="end"/>
          </w:r>
        </w:p>
        <w:p>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"_Toc130753226" </w:instrText>
          </w:r>
          <w:r>
            <w:fldChar w:fldCharType="separate"/>
          </w:r>
          <w:r>
            <w:rPr>
              <w:rStyle w:val="9"/>
              <w:rFonts w:ascii="黑体" w:hAnsi="黑体" w:eastAsia="黑体" w:cs="黑体"/>
            </w:rPr>
            <w:t>三、 选课平台使用方法</w:t>
          </w:r>
          <w:r>
            <w:tab/>
          </w:r>
          <w:r>
            <w:fldChar w:fldCharType="begin"/>
          </w:r>
          <w:r>
            <w:instrText xml:space="preserve"> PAGEREF _Toc130753226 \h </w:instrText>
          </w:r>
          <w:r>
            <w:fldChar w:fldCharType="separate"/>
          </w:r>
          <w:r>
            <w:t>3</w:t>
          </w:r>
          <w:r>
            <w:fldChar w:fldCharType="end"/>
          </w:r>
          <w:r>
            <w:fldChar w:fldCharType="end"/>
          </w:r>
        </w:p>
        <w:p>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"_Toc130753227" </w:instrText>
          </w:r>
          <w:r>
            <w:fldChar w:fldCharType="separate"/>
          </w:r>
          <w:r>
            <w:rPr>
              <w:rStyle w:val="9"/>
              <w:rFonts w:ascii="黑体" w:hAnsi="黑体" w:eastAsia="黑体" w:cs="黑体"/>
            </w:rPr>
            <w:t>四、 常见问题解答</w:t>
          </w:r>
          <w:r>
            <w:tab/>
          </w:r>
          <w:r>
            <w:fldChar w:fldCharType="begin"/>
          </w:r>
          <w:r>
            <w:instrText xml:space="preserve"> PAGEREF _Toc130753227 \h </w:instrText>
          </w:r>
          <w:r>
            <w:fldChar w:fldCharType="separate"/>
          </w:r>
          <w:r>
            <w:t>10</w:t>
          </w:r>
          <w:r>
            <w:fldChar w:fldCharType="end"/>
          </w:r>
          <w:r>
            <w:fldChar w:fldCharType="end"/>
          </w:r>
        </w:p>
        <w:p>
          <w:pPr>
            <w:pStyle w:val="5"/>
            <w:rPr>
              <w:rStyle w:val="9"/>
              <w:rFonts w:ascii="仿宋" w:hAnsi="仿宋" w:eastAsia="仿宋"/>
            </w:rPr>
          </w:pPr>
          <w:r>
            <w:fldChar w:fldCharType="end"/>
          </w:r>
        </w:p>
      </w:sdtContent>
    </w:sdt>
    <w:p>
      <w:pPr>
        <w:pStyle w:val="2"/>
        <w:spacing w:before="0" w:after="0" w:line="360" w:lineRule="auto"/>
        <w:rPr>
          <w:rFonts w:ascii="黑体" w:hAnsi="黑体" w:eastAsia="黑体" w:cs="黑体"/>
          <w:szCs w:val="28"/>
        </w:rPr>
        <w:sectPr>
          <w:footerReference r:id="rId4" w:type="default"/>
          <w:pgSz w:w="11900" w:h="16840"/>
          <w:pgMar w:top="1440" w:right="1800" w:bottom="1440" w:left="1800" w:header="851" w:footer="992" w:gutter="0"/>
          <w:cols w:space="425" w:num="1"/>
          <w:docGrid w:type="lines" w:linePitch="423" w:charSpace="0"/>
        </w:sectPr>
      </w:pPr>
      <w:bookmarkStart w:id="7" w:name="_Toc52299882"/>
    </w:p>
    <w:bookmarkEnd w:id="1"/>
    <w:bookmarkEnd w:id="7"/>
    <w:p>
      <w:pPr>
        <w:pStyle w:val="2"/>
        <w:spacing w:before="0" w:after="0" w:line="360" w:lineRule="auto"/>
        <w:rPr>
          <w:rFonts w:ascii="黑体" w:hAnsi="黑体" w:eastAsia="黑体" w:cs="黑体"/>
          <w:szCs w:val="28"/>
        </w:rPr>
      </w:pPr>
      <w:bookmarkStart w:id="8" w:name="_Toc130753224"/>
      <w:r>
        <w:rPr>
          <w:rFonts w:hint="eastAsia" w:ascii="黑体" w:hAnsi="黑体" w:eastAsia="黑体" w:cs="黑体"/>
          <w:szCs w:val="28"/>
        </w:rPr>
        <w:t>一、 课程介绍</w:t>
      </w:r>
      <w:bookmarkEnd w:id="8"/>
    </w:p>
    <w:p>
      <w:pPr>
        <w:spacing w:line="360" w:lineRule="auto"/>
        <w:ind w:firstLine="560" w:firstLineChars="200"/>
        <w:rPr>
          <w:rFonts w:ascii="仿宋" w:hAnsi="仿宋" w:eastAsia="仿宋"/>
          <w:sz w:val="28"/>
          <w:szCs w:val="28"/>
        </w:rPr>
      </w:pPr>
      <w:bookmarkStart w:id="9" w:name="OLE_LINK1"/>
      <w:r>
        <w:rPr>
          <w:rFonts w:hint="eastAsia" w:ascii="仿宋" w:hAnsi="仿宋" w:eastAsia="仿宋"/>
          <w:sz w:val="28"/>
          <w:szCs w:val="28"/>
        </w:rPr>
        <w:t>为落实立德树人根本任务，推进思政教育改革，培养“爱国、励志、求真、力行”的社会主义建设者和接班人，学校按照教育部高校思政课程改革方针，面向各</w:t>
      </w:r>
      <w:r>
        <w:rPr>
          <w:rFonts w:hint="eastAsia" w:ascii="仿宋" w:hAnsi="仿宋" w:eastAsia="仿宋"/>
          <w:bCs/>
          <w:sz w:val="28"/>
          <w:szCs w:val="28"/>
        </w:rPr>
        <w:t>年级本科生</w:t>
      </w:r>
      <w:r>
        <w:rPr>
          <w:rFonts w:hint="eastAsia" w:ascii="仿宋" w:hAnsi="仿宋" w:eastAsia="仿宋"/>
          <w:sz w:val="28"/>
          <w:szCs w:val="28"/>
        </w:rPr>
        <w:t>开设上、下两期</w:t>
      </w:r>
      <w:r>
        <w:rPr>
          <w:rFonts w:hint="eastAsia" w:ascii="仿宋" w:hAnsi="仿宋" w:eastAsia="仿宋"/>
          <w:b/>
          <w:bCs/>
          <w:sz w:val="28"/>
          <w:szCs w:val="28"/>
        </w:rPr>
        <w:t>共</w:t>
      </w:r>
      <w:r>
        <w:rPr>
          <w:rFonts w:ascii="Times New Roman" w:hAnsi="Times New Roman" w:eastAsia="仿宋" w:cs="Times New Roman"/>
          <w:b/>
          <w:sz w:val="28"/>
          <w:szCs w:val="28"/>
        </w:rPr>
        <w:t>2</w:t>
      </w:r>
      <w:r>
        <w:rPr>
          <w:rFonts w:hint="eastAsia" w:ascii="仿宋" w:hAnsi="仿宋" w:eastAsia="仿宋"/>
          <w:b/>
          <w:sz w:val="28"/>
          <w:szCs w:val="28"/>
        </w:rPr>
        <w:t>学分</w:t>
      </w:r>
      <w:r>
        <w:rPr>
          <w:rFonts w:hint="eastAsia" w:ascii="仿宋" w:hAnsi="仿宋" w:eastAsia="仿宋"/>
          <w:sz w:val="28"/>
          <w:szCs w:val="28"/>
        </w:rPr>
        <w:t>的“思想政治实践”必修课程。“思想政治实践（上）”课程在秋季学期开设，包含“爱乐传习”与“志愿服务”两个模块，选课学生须在该学期内选修其中之一；“思想政治实践（下）”课程在春季学期开设，包含“社会实践”模块，为全体本科生必修。</w:t>
      </w:r>
      <w:bookmarkStart w:id="10" w:name="_Toc22041276"/>
      <w:bookmarkEnd w:id="10"/>
      <w:bookmarkStart w:id="11" w:name="_Toc22039772"/>
      <w:bookmarkEnd w:id="11"/>
      <w:bookmarkStart w:id="12" w:name="_Toc52299812"/>
      <w:bookmarkEnd w:id="12"/>
      <w:bookmarkStart w:id="13" w:name="_Toc22075772"/>
      <w:bookmarkEnd w:id="13"/>
      <w:bookmarkStart w:id="14" w:name="_Toc52299845"/>
      <w:bookmarkEnd w:id="14"/>
      <w:bookmarkStart w:id="15" w:name="_Toc52299883"/>
      <w:bookmarkEnd w:id="15"/>
      <w:bookmarkStart w:id="16" w:name="_Toc52299156"/>
      <w:bookmarkEnd w:id="16"/>
      <w:bookmarkStart w:id="17" w:name="_Toc52299786"/>
      <w:bookmarkEnd w:id="17"/>
      <w:bookmarkStart w:id="18" w:name="_Toc52299799"/>
      <w:bookmarkEnd w:id="18"/>
      <w:bookmarkStart w:id="19" w:name="_Toc52299555"/>
      <w:bookmarkEnd w:id="19"/>
    </w:p>
    <w:bookmarkEnd w:id="9"/>
    <w:p>
      <w:pPr>
        <w:spacing w:line="360" w:lineRule="auto"/>
        <w:ind w:firstLine="562" w:firstLineChars="200"/>
        <w:rPr>
          <w:rFonts w:ascii="仿宋" w:hAnsi="仿宋" w:eastAsia="仿宋"/>
          <w:sz w:val="28"/>
          <w:szCs w:val="28"/>
        </w:rPr>
      </w:pPr>
      <w:r>
        <w:rPr>
          <w:rFonts w:hint="eastAsia" w:ascii="仿宋" w:hAnsi="仿宋" w:eastAsia="仿宋"/>
          <w:b/>
          <w:sz w:val="28"/>
          <w:szCs w:val="28"/>
        </w:rPr>
        <w:t>“爱乐传习”</w:t>
      </w:r>
      <w:r>
        <w:rPr>
          <w:rFonts w:hint="eastAsia" w:ascii="仿宋" w:hAnsi="仿宋" w:eastAsia="仿宋"/>
          <w:sz w:val="28"/>
          <w:szCs w:val="28"/>
        </w:rPr>
        <w:t>模块内容为参与所在院系组织的“一二</w:t>
      </w:r>
      <w:r>
        <w:rPr>
          <w:rFonts w:hint="eastAsia" w:ascii="仿宋" w:hAnsi="仿宋" w:eastAsia="仿宋" w:cs="微软雅黑"/>
          <w:sz w:val="28"/>
          <w:szCs w:val="28"/>
        </w:rPr>
        <w:t>·</w:t>
      </w:r>
      <w:r>
        <w:rPr>
          <w:rFonts w:hint="eastAsia" w:ascii="仿宋" w:hAnsi="仿宋" w:eastAsia="仿宋"/>
          <w:sz w:val="28"/>
          <w:szCs w:val="28"/>
        </w:rPr>
        <w:t>九”合唱排练与集体展示，期末考核时须提交</w:t>
      </w:r>
      <w:r>
        <w:rPr>
          <w:rFonts w:hint="eastAsia" w:ascii="仿宋" w:hAnsi="仿宋" w:eastAsia="仿宋"/>
          <w:b/>
          <w:bCs/>
          <w:sz w:val="28"/>
          <w:szCs w:val="28"/>
        </w:rPr>
        <w:t>不少于</w:t>
      </w:r>
      <w:r>
        <w:rPr>
          <w:rFonts w:ascii="Times New Roman" w:hAnsi="Times New Roman" w:eastAsia="仿宋" w:cs="Times New Roman"/>
          <w:b/>
          <w:bCs/>
          <w:sz w:val="28"/>
          <w:szCs w:val="28"/>
        </w:rPr>
        <w:t>2000</w:t>
      </w:r>
      <w:r>
        <w:rPr>
          <w:rFonts w:hint="eastAsia" w:ascii="仿宋" w:hAnsi="仿宋" w:eastAsia="仿宋"/>
          <w:b/>
          <w:bCs/>
          <w:sz w:val="28"/>
          <w:szCs w:val="28"/>
        </w:rPr>
        <w:t>字的，</w:t>
      </w:r>
      <w:r>
        <w:rPr>
          <w:rFonts w:hint="eastAsia" w:ascii="仿宋" w:hAnsi="仿宋" w:eastAsia="仿宋"/>
          <w:sz w:val="28"/>
          <w:szCs w:val="28"/>
        </w:rPr>
        <w:t>主题为爱国主义、集体主义、音乐育人的论文</w:t>
      </w:r>
      <w:r>
        <w:rPr>
          <w:rFonts w:hint="eastAsia" w:ascii="仿宋" w:hAnsi="仿宋" w:eastAsia="仿宋"/>
          <w:bCs/>
          <w:sz w:val="28"/>
          <w:szCs w:val="28"/>
        </w:rPr>
        <w:t>或者</w:t>
      </w:r>
      <w:r>
        <w:rPr>
          <w:rFonts w:hint="eastAsia" w:ascii="仿宋" w:hAnsi="仿宋" w:eastAsia="仿宋"/>
          <w:sz w:val="28"/>
          <w:szCs w:val="28"/>
        </w:rPr>
        <w:t>在进行“爱乐传习”模块学习过程中的收获、感受与思考。</w:t>
      </w:r>
    </w:p>
    <w:p>
      <w:pPr>
        <w:spacing w:line="360" w:lineRule="auto"/>
        <w:ind w:firstLine="562" w:firstLineChars="200"/>
        <w:rPr>
          <w:rFonts w:ascii="仿宋" w:hAnsi="仿宋" w:eastAsia="仿宋"/>
          <w:sz w:val="28"/>
          <w:szCs w:val="28"/>
        </w:rPr>
      </w:pPr>
      <w:r>
        <w:rPr>
          <w:rFonts w:hint="eastAsia" w:ascii="仿宋" w:hAnsi="仿宋" w:eastAsia="仿宋"/>
          <w:b/>
          <w:sz w:val="28"/>
          <w:szCs w:val="28"/>
        </w:rPr>
        <w:t>“志愿服务”</w:t>
      </w:r>
      <w:r>
        <w:rPr>
          <w:rFonts w:hint="eastAsia" w:ascii="仿宋" w:hAnsi="仿宋" w:eastAsia="仿宋"/>
          <w:sz w:val="28"/>
          <w:szCs w:val="28"/>
        </w:rPr>
        <w:t>模块由理论课程、志愿服务活动与总结展示三部分组成。选课学生须参与</w:t>
      </w:r>
      <w:r>
        <w:rPr>
          <w:rFonts w:hint="eastAsia" w:ascii="仿宋" w:hAnsi="仿宋" w:eastAsia="仿宋"/>
          <w:b/>
          <w:bCs/>
          <w:sz w:val="28"/>
          <w:szCs w:val="28"/>
        </w:rPr>
        <w:t>两次</w:t>
      </w:r>
      <w:r>
        <w:rPr>
          <w:rFonts w:hint="eastAsia" w:ascii="仿宋" w:hAnsi="仿宋" w:eastAsia="仿宋"/>
          <w:sz w:val="28"/>
          <w:szCs w:val="28"/>
        </w:rPr>
        <w:t>统一</w:t>
      </w:r>
      <w:r>
        <w:rPr>
          <w:rFonts w:hint="eastAsia" w:ascii="仿宋" w:hAnsi="仿宋" w:eastAsia="仿宋" w:cs="微软雅黑"/>
          <w:sz w:val="28"/>
          <w:szCs w:val="28"/>
        </w:rPr>
        <w:t>组织的志愿服务主题讲座，参与</w:t>
      </w:r>
      <w:r>
        <w:rPr>
          <w:rFonts w:ascii="仿宋" w:hAnsi="仿宋" w:eastAsia="仿宋" w:cs="微软雅黑"/>
          <w:b/>
          <w:bCs/>
          <w:sz w:val="28"/>
          <w:szCs w:val="28"/>
        </w:rPr>
        <w:t>总时长不少于16小时且不少于4次</w:t>
      </w:r>
      <w:r>
        <w:rPr>
          <w:rFonts w:ascii="仿宋" w:hAnsi="仿宋" w:eastAsia="仿宋" w:cs="微软雅黑"/>
          <w:sz w:val="28"/>
          <w:szCs w:val="28"/>
        </w:rPr>
        <w:t>（连续4天参加一项活动，总时长达到16小时亦可）</w:t>
      </w:r>
      <w:r>
        <w:rPr>
          <w:rFonts w:hint="eastAsia" w:ascii="仿宋" w:hAnsi="仿宋" w:eastAsia="仿宋" w:cs="微软雅黑"/>
          <w:sz w:val="28"/>
          <w:szCs w:val="28"/>
        </w:rPr>
        <w:t>的志愿服务活动（</w:t>
      </w:r>
      <w:r>
        <w:rPr>
          <w:rFonts w:hint="eastAsia" w:ascii="仿宋" w:hAnsi="仿宋" w:eastAsia="仿宋"/>
          <w:sz w:val="28"/>
          <w:szCs w:val="28"/>
        </w:rPr>
        <w:t>在课程管理系统提交带有服务时长的志愿服务证明或证书），并提交</w:t>
      </w:r>
      <w:r>
        <w:rPr>
          <w:rFonts w:ascii="Times New Roman" w:hAnsi="Times New Roman" w:eastAsia="仿宋" w:cs="Times New Roman"/>
          <w:b/>
          <w:bCs/>
          <w:sz w:val="28"/>
          <w:szCs w:val="28"/>
        </w:rPr>
        <w:t>2</w:t>
      </w:r>
      <w:r>
        <w:rPr>
          <w:rFonts w:hint="eastAsia" w:ascii="仿宋" w:hAnsi="仿宋" w:eastAsia="仿宋"/>
          <w:b/>
          <w:bCs/>
          <w:sz w:val="28"/>
          <w:szCs w:val="28"/>
        </w:rPr>
        <w:t>篇</w:t>
      </w:r>
      <w:r>
        <w:rPr>
          <w:rFonts w:ascii="Times New Roman" w:hAnsi="Times New Roman" w:eastAsia="仿宋" w:cs="Times New Roman"/>
          <w:b/>
          <w:bCs/>
          <w:sz w:val="28"/>
          <w:szCs w:val="28"/>
        </w:rPr>
        <w:t>400</w:t>
      </w:r>
      <w:r>
        <w:rPr>
          <w:rFonts w:hint="eastAsia" w:ascii="仿宋" w:hAnsi="仿宋" w:eastAsia="仿宋"/>
          <w:b/>
          <w:bCs/>
          <w:sz w:val="28"/>
          <w:szCs w:val="28"/>
        </w:rPr>
        <w:t>字以上</w:t>
      </w:r>
      <w:r>
        <w:rPr>
          <w:rFonts w:hint="eastAsia" w:ascii="仿宋" w:hAnsi="仿宋" w:eastAsia="仿宋"/>
          <w:sz w:val="28"/>
          <w:szCs w:val="28"/>
        </w:rPr>
        <w:t>的个人感想。结课前须提交</w:t>
      </w:r>
      <w:r>
        <w:rPr>
          <w:rFonts w:hint="eastAsia" w:ascii="仿宋" w:hAnsi="仿宋" w:eastAsia="仿宋"/>
          <w:b/>
          <w:bCs/>
          <w:sz w:val="28"/>
          <w:szCs w:val="28"/>
        </w:rPr>
        <w:t>不少于</w:t>
      </w:r>
      <w:r>
        <w:rPr>
          <w:rFonts w:ascii="Times New Roman" w:hAnsi="Times New Roman" w:eastAsia="仿宋" w:cs="Times New Roman"/>
          <w:b/>
          <w:bCs/>
          <w:sz w:val="28"/>
          <w:szCs w:val="28"/>
        </w:rPr>
        <w:t>2000</w:t>
      </w:r>
      <w:r>
        <w:rPr>
          <w:rFonts w:hint="eastAsia" w:ascii="仿宋" w:hAnsi="仿宋" w:eastAsia="仿宋"/>
          <w:b/>
          <w:bCs/>
          <w:sz w:val="28"/>
          <w:szCs w:val="28"/>
        </w:rPr>
        <w:t>字</w:t>
      </w:r>
      <w:r>
        <w:rPr>
          <w:rFonts w:hint="eastAsia" w:ascii="仿宋" w:hAnsi="仿宋" w:eastAsia="仿宋"/>
          <w:sz w:val="28"/>
          <w:szCs w:val="28"/>
        </w:rPr>
        <w:t>的综合性论文，参与由各院系组织实施的主题总结展示。</w:t>
      </w:r>
    </w:p>
    <w:p>
      <w:pPr>
        <w:spacing w:line="360" w:lineRule="auto"/>
        <w:ind w:firstLine="562" w:firstLineChars="200"/>
        <w:rPr>
          <w:rFonts w:ascii="仿宋" w:hAnsi="仿宋" w:eastAsia="仿宋"/>
          <w:sz w:val="28"/>
          <w:szCs w:val="28"/>
        </w:rPr>
        <w:sectPr>
          <w:footerReference r:id="rId5" w:type="default"/>
          <w:pgSz w:w="11900" w:h="16840"/>
          <w:pgMar w:top="1440" w:right="1800" w:bottom="1440" w:left="1800" w:header="851" w:footer="992" w:gutter="0"/>
          <w:pgNumType w:start="1"/>
          <w:cols w:space="425" w:num="1"/>
          <w:docGrid w:type="lines" w:linePitch="423" w:charSpace="0"/>
        </w:sectPr>
      </w:pPr>
      <w:r>
        <w:rPr>
          <w:rFonts w:hint="eastAsia" w:ascii="仿宋" w:hAnsi="仿宋" w:eastAsia="仿宋"/>
          <w:b/>
          <w:sz w:val="28"/>
          <w:szCs w:val="28"/>
        </w:rPr>
        <w:t>“社会实践”</w:t>
      </w:r>
      <w:r>
        <w:rPr>
          <w:rFonts w:hint="eastAsia" w:ascii="仿宋" w:hAnsi="仿宋" w:eastAsia="仿宋"/>
          <w:sz w:val="28"/>
          <w:szCs w:val="28"/>
        </w:rPr>
        <w:t>模块包括理论课程、社会实践、总结报告三部分，活动形式为</w:t>
      </w:r>
      <w:r>
        <w:rPr>
          <w:rFonts w:hint="eastAsia" w:ascii="仿宋" w:hAnsi="仿宋" w:eastAsia="仿宋"/>
          <w:b/>
          <w:bCs/>
          <w:sz w:val="28"/>
          <w:szCs w:val="28"/>
        </w:rPr>
        <w:t>不少于</w:t>
      </w:r>
      <w:r>
        <w:rPr>
          <w:rFonts w:ascii="Times New Roman" w:hAnsi="Times New Roman" w:eastAsia="仿宋" w:cs="Times New Roman"/>
          <w:b/>
          <w:bCs/>
          <w:sz w:val="28"/>
          <w:szCs w:val="28"/>
        </w:rPr>
        <w:t>3</w:t>
      </w:r>
      <w:r>
        <w:rPr>
          <w:rFonts w:hint="eastAsia" w:ascii="仿宋" w:hAnsi="仿宋" w:eastAsia="仿宋"/>
          <w:b/>
          <w:bCs/>
          <w:sz w:val="28"/>
          <w:szCs w:val="28"/>
        </w:rPr>
        <w:t>天</w:t>
      </w:r>
      <w:r>
        <w:rPr>
          <w:rFonts w:hint="eastAsia" w:ascii="仿宋" w:hAnsi="仿宋" w:eastAsia="仿宋"/>
          <w:sz w:val="28"/>
          <w:szCs w:val="28"/>
        </w:rPr>
        <w:t>的团队实践，须在院系任课教师指导下在确定的主题范围内完成实践课程。实践结束后需提交一篇</w:t>
      </w:r>
      <w:r>
        <w:rPr>
          <w:rFonts w:hint="eastAsia" w:ascii="仿宋" w:hAnsi="仿宋" w:eastAsia="仿宋"/>
          <w:b/>
          <w:bCs/>
          <w:sz w:val="28"/>
          <w:szCs w:val="28"/>
        </w:rPr>
        <w:t>不少于</w:t>
      </w:r>
      <w:r>
        <w:rPr>
          <w:rFonts w:ascii="Times New Roman" w:hAnsi="Times New Roman" w:eastAsia="仿宋" w:cs="Times New Roman"/>
          <w:b/>
          <w:bCs/>
          <w:sz w:val="28"/>
          <w:szCs w:val="28"/>
        </w:rPr>
        <w:t>1500</w:t>
      </w:r>
      <w:r>
        <w:rPr>
          <w:rFonts w:hint="eastAsia" w:ascii="仿宋" w:hAnsi="仿宋" w:eastAsia="仿宋"/>
          <w:b/>
          <w:bCs/>
          <w:sz w:val="28"/>
          <w:szCs w:val="28"/>
        </w:rPr>
        <w:t>字</w:t>
      </w:r>
      <w:r>
        <w:rPr>
          <w:rFonts w:hint="eastAsia" w:ascii="仿宋" w:hAnsi="仿宋" w:eastAsia="仿宋"/>
          <w:sz w:val="28"/>
          <w:szCs w:val="28"/>
        </w:rPr>
        <w:t>的个人总结，并提交一篇</w:t>
      </w:r>
      <w:r>
        <w:rPr>
          <w:rFonts w:hint="eastAsia" w:ascii="仿宋" w:hAnsi="仿宋" w:eastAsia="仿宋"/>
          <w:b/>
          <w:bCs/>
          <w:sz w:val="28"/>
          <w:szCs w:val="28"/>
        </w:rPr>
        <w:t>不少于</w:t>
      </w:r>
      <w:r>
        <w:rPr>
          <w:rFonts w:ascii="Times New Roman" w:hAnsi="Times New Roman" w:eastAsia="仿宋" w:cs="Times New Roman"/>
          <w:b/>
          <w:bCs/>
          <w:sz w:val="28"/>
          <w:szCs w:val="28"/>
        </w:rPr>
        <w:t>5000</w:t>
      </w:r>
      <w:r>
        <w:rPr>
          <w:rFonts w:hint="eastAsia" w:ascii="仿宋" w:hAnsi="仿宋" w:eastAsia="仿宋"/>
          <w:b/>
          <w:bCs/>
          <w:sz w:val="28"/>
          <w:szCs w:val="28"/>
        </w:rPr>
        <w:t>字</w:t>
      </w:r>
      <w:r>
        <w:rPr>
          <w:rFonts w:hint="eastAsia" w:ascii="仿宋" w:hAnsi="仿宋" w:eastAsia="仿宋"/>
          <w:sz w:val="28"/>
          <w:szCs w:val="28"/>
        </w:rPr>
        <w:t>的团队实践总结报告。</w:t>
      </w:r>
    </w:p>
    <w:p>
      <w:pPr>
        <w:pStyle w:val="2"/>
        <w:spacing w:before="0" w:after="0" w:line="360" w:lineRule="auto"/>
        <w:rPr>
          <w:rFonts w:ascii="黑体" w:hAnsi="黑体" w:eastAsia="黑体" w:cs="黑体"/>
          <w:szCs w:val="28"/>
        </w:rPr>
      </w:pPr>
      <w:bookmarkStart w:id="20" w:name="_Toc52299884"/>
      <w:bookmarkStart w:id="21" w:name="_Toc130753225"/>
      <w:r>
        <w:rPr>
          <w:rFonts w:hint="eastAsia" w:ascii="黑体" w:hAnsi="黑体" w:eastAsia="黑体" w:cs="黑体"/>
          <w:szCs w:val="28"/>
        </w:rPr>
        <w:t xml:space="preserve">二、 </w:t>
      </w:r>
      <w:bookmarkStart w:id="22" w:name="_Toc4102543"/>
      <w:r>
        <w:rPr>
          <w:rFonts w:hint="eastAsia" w:ascii="黑体" w:hAnsi="黑体" w:eastAsia="黑体" w:cs="黑体"/>
          <w:szCs w:val="28"/>
        </w:rPr>
        <w:t>2023-2024学年课程安排</w:t>
      </w:r>
      <w:bookmarkEnd w:id="20"/>
      <w:bookmarkEnd w:id="21"/>
      <w:bookmarkEnd w:id="22"/>
    </w:p>
    <w:p>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选课学生须在相应模块结课前完成模块要求，所提交材料仅在考核期限内有效。若没有完成模块要求，则考核结果为“不合格”。学生可以重选相关模块，但须重新完成相关课程的所有环节。</w:t>
      </w:r>
    </w:p>
    <w:p>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（一）“爱乐传习”模块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“爱乐传习”模块于秋季学期开课。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选课学生须参与所在院系统一组织的“一二·九”合唱排练与演出活动，总学时不得少于</w:t>
      </w:r>
      <w:r>
        <w:rPr>
          <w:rFonts w:ascii="Times New Roman" w:hAnsi="Times New Roman" w:eastAsia="仿宋" w:cs="Times New Roman"/>
          <w:sz w:val="28"/>
          <w:szCs w:val="28"/>
        </w:rPr>
        <w:t>32</w:t>
      </w:r>
      <w:r>
        <w:rPr>
          <w:rFonts w:hint="eastAsia" w:ascii="仿宋" w:hAnsi="仿宋" w:eastAsia="仿宋"/>
          <w:sz w:val="28"/>
          <w:szCs w:val="28"/>
        </w:rPr>
        <w:t>学时，按照实际参与时间确认学时，其中演出计为</w:t>
      </w:r>
      <w:r>
        <w:rPr>
          <w:rFonts w:ascii="Times New Roman" w:hAnsi="Times New Roman" w:eastAsia="仿宋" w:cs="Times New Roman"/>
          <w:sz w:val="28"/>
          <w:szCs w:val="28"/>
        </w:rPr>
        <w:t>8</w:t>
      </w:r>
      <w:r>
        <w:rPr>
          <w:rFonts w:hint="eastAsia" w:ascii="仿宋" w:hAnsi="仿宋" w:eastAsia="仿宋"/>
          <w:sz w:val="28"/>
          <w:szCs w:val="28"/>
        </w:rPr>
        <w:t>学时。</w:t>
      </w:r>
    </w:p>
    <w:p>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（二）“志愿服务”模块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“志愿服务”模块于秋季学期开课。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理论课程在开课学年进行，每次课程</w:t>
      </w:r>
      <w:r>
        <w:rPr>
          <w:rFonts w:hint="eastAsia" w:ascii="Times New Roman" w:hAnsi="Times New Roman" w:eastAsia="仿宋" w:cs="Times New Roman"/>
          <w:sz w:val="28"/>
          <w:szCs w:val="28"/>
        </w:rPr>
        <w:t>1.5-</w:t>
      </w:r>
      <w:r>
        <w:rPr>
          <w:rFonts w:ascii="Times New Roman" w:hAnsi="Times New Roman" w:eastAsia="仿宋" w:cs="Times New Roman"/>
          <w:sz w:val="28"/>
          <w:szCs w:val="28"/>
        </w:rPr>
        <w:t>2</w:t>
      </w:r>
      <w:r>
        <w:rPr>
          <w:rFonts w:hint="eastAsia" w:ascii="仿宋" w:hAnsi="仿宋" w:eastAsia="仿宋"/>
          <w:sz w:val="28"/>
          <w:szCs w:val="28"/>
        </w:rPr>
        <w:t>学时，学生须参加至少两次理论课程。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另外，学生须在</w:t>
      </w:r>
      <w:r>
        <w:rPr>
          <w:rFonts w:hint="eastAsia" w:ascii="仿宋" w:hAnsi="仿宋" w:eastAsia="仿宋"/>
          <w:b/>
          <w:bCs/>
          <w:sz w:val="28"/>
          <w:szCs w:val="28"/>
        </w:rPr>
        <w:t>选课学年内（不含暑假）</w:t>
      </w:r>
      <w:r>
        <w:rPr>
          <w:rFonts w:hint="eastAsia" w:ascii="仿宋" w:hAnsi="仿宋" w:eastAsia="仿宋"/>
          <w:sz w:val="28"/>
          <w:szCs w:val="28"/>
        </w:rPr>
        <w:t>参加校内外志愿服务活动，总时长不少于</w:t>
      </w:r>
      <w:r>
        <w:rPr>
          <w:rFonts w:hint="eastAsia" w:ascii="Times New Roman" w:hAnsi="Times New Roman" w:eastAsia="仿宋" w:cs="Times New Roman"/>
          <w:sz w:val="28"/>
          <w:szCs w:val="28"/>
        </w:rPr>
        <w:t>16</w:t>
      </w:r>
      <w:r>
        <w:rPr>
          <w:rFonts w:hint="eastAsia" w:ascii="仿宋" w:hAnsi="仿宋" w:eastAsia="仿宋"/>
          <w:sz w:val="28"/>
          <w:szCs w:val="28"/>
        </w:rPr>
        <w:t>小时</w:t>
      </w:r>
      <w:r>
        <w:rPr>
          <w:rFonts w:hint="eastAsia" w:ascii="仿宋" w:hAnsi="仿宋" w:eastAsia="仿宋"/>
          <w:b/>
          <w:sz w:val="28"/>
          <w:szCs w:val="28"/>
        </w:rPr>
        <w:t>且</w:t>
      </w:r>
      <w:r>
        <w:rPr>
          <w:rFonts w:hint="eastAsia" w:ascii="仿宋" w:hAnsi="仿宋" w:eastAsia="仿宋"/>
          <w:sz w:val="28"/>
          <w:szCs w:val="28"/>
        </w:rPr>
        <w:t>不少于</w:t>
      </w:r>
      <w:r>
        <w:rPr>
          <w:rFonts w:hint="eastAsia" w:ascii="Times New Roman" w:hAnsi="Times New Roman" w:eastAsia="仿宋" w:cs="Times New Roman"/>
          <w:sz w:val="28"/>
          <w:szCs w:val="28"/>
        </w:rPr>
        <w:t>4</w:t>
      </w:r>
      <w:r>
        <w:rPr>
          <w:rFonts w:hint="eastAsia" w:ascii="仿宋" w:hAnsi="仿宋" w:eastAsia="仿宋"/>
          <w:sz w:val="28"/>
          <w:szCs w:val="28"/>
        </w:rPr>
        <w:t>次（连续</w:t>
      </w:r>
      <w:r>
        <w:rPr>
          <w:rFonts w:hint="eastAsia" w:ascii="Times New Roman" w:hAnsi="Times New Roman" w:eastAsia="仿宋" w:cs="Times New Roman"/>
          <w:sz w:val="28"/>
          <w:szCs w:val="28"/>
        </w:rPr>
        <w:t>4</w:t>
      </w:r>
      <w:r>
        <w:rPr>
          <w:rFonts w:hint="eastAsia" w:ascii="仿宋" w:hAnsi="仿宋" w:eastAsia="仿宋"/>
          <w:sz w:val="28"/>
          <w:szCs w:val="28"/>
        </w:rPr>
        <w:t>天参加一项活动，总时长达</w:t>
      </w:r>
      <w:r>
        <w:rPr>
          <w:rFonts w:hint="eastAsia" w:ascii="Times New Roman" w:hAnsi="Times New Roman" w:eastAsia="仿宋" w:cs="Times New Roman"/>
          <w:sz w:val="28"/>
          <w:szCs w:val="28"/>
        </w:rPr>
        <w:t>到16</w:t>
      </w:r>
      <w:r>
        <w:rPr>
          <w:rFonts w:hint="eastAsia" w:ascii="仿宋" w:hAnsi="仿宋" w:eastAsia="仿宋"/>
          <w:sz w:val="28"/>
          <w:szCs w:val="28"/>
        </w:rPr>
        <w:t>小时亦可）。院系组织总结展示部分共</w:t>
      </w:r>
      <w:r>
        <w:rPr>
          <w:rFonts w:hint="eastAsia" w:ascii="Times New Roman" w:hAnsi="Times New Roman" w:eastAsia="仿宋" w:cs="Times New Roman"/>
          <w:sz w:val="28"/>
          <w:szCs w:val="28"/>
        </w:rPr>
        <w:t>2</w:t>
      </w:r>
      <w:r>
        <w:rPr>
          <w:rFonts w:hint="eastAsia" w:ascii="仿宋" w:hAnsi="仿宋" w:eastAsia="仿宋"/>
          <w:sz w:val="28"/>
          <w:szCs w:val="28"/>
        </w:rPr>
        <w:t>次课</w:t>
      </w:r>
      <w:r>
        <w:rPr>
          <w:rFonts w:hint="eastAsia" w:ascii="Times New Roman" w:hAnsi="Times New Roman" w:eastAsia="仿宋" w:cs="Times New Roman"/>
          <w:sz w:val="28"/>
          <w:szCs w:val="28"/>
        </w:rPr>
        <w:t>，4</w:t>
      </w:r>
      <w:r>
        <w:rPr>
          <w:rFonts w:hint="eastAsia" w:ascii="仿宋" w:hAnsi="仿宋" w:eastAsia="仿宋"/>
          <w:sz w:val="28"/>
          <w:szCs w:val="28"/>
        </w:rPr>
        <w:t>学时，展示时间由院系自行安排。</w:t>
      </w:r>
    </w:p>
    <w:p>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（三）“社会实践”模块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“社会实践”模块于春季学期开课。</w:t>
      </w:r>
    </w:p>
    <w:p>
      <w:pPr>
        <w:spacing w:line="360" w:lineRule="auto"/>
        <w:ind w:firstLine="560" w:firstLineChars="200"/>
        <w:rPr>
          <w:rFonts w:ascii="仿宋" w:hAnsi="仿宋" w:eastAsia="仿宋"/>
          <w:sz w:val="28"/>
          <w:szCs w:val="28"/>
        </w:rPr>
        <w:sectPr>
          <w:pgSz w:w="11900" w:h="16840"/>
          <w:pgMar w:top="1440" w:right="1800" w:bottom="1440" w:left="1800" w:header="851" w:footer="992" w:gutter="0"/>
          <w:cols w:space="425" w:num="1"/>
          <w:docGrid w:type="lines" w:linePitch="423" w:charSpace="0"/>
        </w:sectPr>
      </w:pPr>
      <w:r>
        <w:rPr>
          <w:rFonts w:hint="eastAsia" w:ascii="仿宋" w:hAnsi="仿宋" w:eastAsia="仿宋"/>
          <w:sz w:val="28"/>
          <w:szCs w:val="28"/>
        </w:rPr>
        <w:t>各院系在学期中组织理论课程，共</w:t>
      </w:r>
      <w:r>
        <w:rPr>
          <w:rFonts w:hint="eastAsia" w:ascii="Times New Roman" w:hAnsi="Times New Roman" w:eastAsia="仿宋" w:cs="Times New Roman"/>
          <w:sz w:val="28"/>
          <w:szCs w:val="28"/>
        </w:rPr>
        <w:t>2</w:t>
      </w:r>
      <w:r>
        <w:rPr>
          <w:rFonts w:hint="eastAsia" w:ascii="仿宋" w:hAnsi="仿宋" w:eastAsia="仿宋"/>
          <w:sz w:val="28"/>
          <w:szCs w:val="28"/>
        </w:rPr>
        <w:t>次，</w:t>
      </w:r>
      <w:r>
        <w:rPr>
          <w:rFonts w:hint="eastAsia" w:ascii="Times New Roman" w:hAnsi="Times New Roman" w:eastAsia="仿宋" w:cs="Times New Roman"/>
          <w:sz w:val="28"/>
          <w:szCs w:val="28"/>
        </w:rPr>
        <w:t>4</w:t>
      </w:r>
      <w:r>
        <w:rPr>
          <w:rFonts w:hint="eastAsia" w:ascii="仿宋" w:hAnsi="仿宋" w:eastAsia="仿宋"/>
          <w:sz w:val="28"/>
          <w:szCs w:val="28"/>
        </w:rPr>
        <w:t>学时。实践活动将于暑假进行，选课学生须参加不少于</w:t>
      </w:r>
      <w:r>
        <w:rPr>
          <w:rFonts w:hint="eastAsia" w:ascii="Times New Roman" w:hAnsi="Times New Roman" w:eastAsia="仿宋" w:cs="Times New Roman"/>
          <w:sz w:val="28"/>
          <w:szCs w:val="28"/>
        </w:rPr>
        <w:t>3</w:t>
      </w:r>
      <w:r>
        <w:rPr>
          <w:rFonts w:hint="eastAsia" w:ascii="仿宋" w:hAnsi="仿宋" w:eastAsia="仿宋"/>
          <w:sz w:val="28"/>
          <w:szCs w:val="28"/>
        </w:rPr>
        <w:t>天且为所在院系组织的社会实践课程。</w:t>
      </w:r>
    </w:p>
    <w:p>
      <w:pPr>
        <w:pStyle w:val="2"/>
        <w:spacing w:before="0" w:after="0" w:line="360" w:lineRule="auto"/>
        <w:rPr>
          <w:rFonts w:ascii="黑体" w:hAnsi="黑体" w:eastAsia="黑体" w:cs="黑体"/>
          <w:szCs w:val="28"/>
        </w:rPr>
      </w:pPr>
      <w:bookmarkStart w:id="23" w:name="_Toc52299885"/>
      <w:bookmarkStart w:id="24" w:name="_Toc130753226"/>
      <w:r>
        <w:rPr>
          <w:rFonts w:hint="eastAsia" w:ascii="黑体" w:hAnsi="黑体" w:eastAsia="黑体" w:cs="黑体"/>
          <w:szCs w:val="28"/>
        </w:rPr>
        <w:t>三、 选课平台使用方法</w:t>
      </w:r>
      <w:bookmarkEnd w:id="23"/>
      <w:bookmarkEnd w:id="24"/>
    </w:p>
    <w:p>
      <w:pPr>
        <w:spacing w:line="360" w:lineRule="auto"/>
        <w:rPr>
          <w:rFonts w:ascii="仿宋" w:hAnsi="仿宋" w:eastAsia="仿宋"/>
          <w:b/>
          <w:bCs/>
          <w:sz w:val="28"/>
          <w:szCs w:val="28"/>
        </w:rPr>
      </w:pPr>
      <w:r>
        <w:rPr>
          <w:rFonts w:hint="eastAsia" w:ascii="仿宋" w:hAnsi="仿宋" w:eastAsia="仿宋"/>
          <w:b/>
          <w:bCs/>
          <w:sz w:val="28"/>
          <w:szCs w:val="28"/>
        </w:rPr>
        <w:t>（以下图片以“社会实践”模块为例，仅作示范，具体内容请以网站实际为准）</w:t>
      </w:r>
    </w:p>
    <w:p>
      <w:pPr>
        <w:spacing w:line="360" w:lineRule="auto"/>
        <w:rPr>
          <w:rFonts w:ascii="仿宋" w:hAnsi="仿宋" w:eastAsia="仿宋"/>
          <w:b/>
          <w:bCs/>
          <w:sz w:val="28"/>
          <w:szCs w:val="28"/>
        </w:rPr>
      </w:pPr>
      <w:bookmarkStart w:id="25" w:name="_Toc4102548"/>
      <w:r>
        <w:rPr>
          <w:rFonts w:hint="eastAsia" w:ascii="仿宋" w:hAnsi="仿宋" w:eastAsia="仿宋"/>
          <w:b/>
          <w:bCs/>
          <w:sz w:val="28"/>
          <w:szCs w:val="28"/>
        </w:rPr>
        <w:t>（一）进入课程平台</w:t>
      </w:r>
      <w:bookmarkEnd w:id="25"/>
    </w:p>
    <w:p>
      <w:pPr>
        <w:spacing w:line="360" w:lineRule="auto"/>
        <w:ind w:left="420" w:leftChars="200"/>
        <w:rPr>
          <w:rFonts w:ascii="仿宋" w:hAnsi="仿宋" w:eastAsia="仿宋"/>
          <w:sz w:val="28"/>
          <w:szCs w:val="28"/>
        </w:rPr>
      </w:pPr>
      <w:r>
        <w:rPr>
          <w:rFonts w:hint="eastAsia" w:ascii="仿宋" w:hAnsi="仿宋" w:eastAsia="仿宋"/>
          <w:sz w:val="28"/>
          <w:szCs w:val="28"/>
        </w:rPr>
        <w:t>1. 网址：</w:t>
      </w:r>
      <w:r>
        <w:rPr>
          <w:rFonts w:ascii="Times New Roman" w:hAnsi="Times New Roman" w:eastAsia="仿宋" w:cs="Times New Roman"/>
          <w:sz w:val="28"/>
          <w:szCs w:val="28"/>
        </w:rPr>
        <w:t>practice.pku.edu.cn</w:t>
      </w:r>
      <w:r>
        <w:rPr>
          <w:rFonts w:hint="eastAsia" w:ascii="仿宋" w:hAnsi="仿宋" w:eastAsia="仿宋"/>
          <w:sz w:val="28"/>
          <w:szCs w:val="28"/>
        </w:rPr>
        <w:t>；</w:t>
      </w:r>
    </w:p>
    <w:p>
      <w:pPr>
        <w:spacing w:line="360" w:lineRule="auto"/>
        <w:ind w:left="420" w:leftChars="200"/>
        <w:rPr>
          <w:rFonts w:ascii="仿宋" w:hAnsi="仿宋" w:eastAsia="仿宋"/>
          <w:sz w:val="28"/>
          <w:szCs w:val="28"/>
        </w:rPr>
      </w:pPr>
      <w:r>
        <w:rPr>
          <w:rFonts w:hint="eastAsia" w:ascii="仿宋" w:hAnsi="仿宋" w:eastAsia="仿宋"/>
          <w:sz w:val="28"/>
          <w:szCs w:val="28"/>
        </w:rPr>
        <w:t>2. 登录：使用统一身份认证系统登录；</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264150" cy="2460625"/>
            <wp:effectExtent l="0" t="0" r="6350" b="3175"/>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7"/>
                    <a:stretch>
                      <a:fillRect/>
                    </a:stretch>
                  </pic:blipFill>
                  <pic:spPr>
                    <a:xfrm>
                      <a:off x="0" y="0"/>
                      <a:ext cx="5264150" cy="2460625"/>
                    </a:xfrm>
                    <a:prstGeom prst="rect">
                      <a:avLst/>
                    </a:prstGeom>
                  </pic:spPr>
                </pic:pic>
              </a:graphicData>
            </a:graphic>
          </wp:inline>
        </w:drawing>
      </w:r>
    </w:p>
    <w:p>
      <w:pPr>
        <w:spacing w:line="360" w:lineRule="auto"/>
        <w:ind w:left="420" w:leftChars="200"/>
        <w:rPr>
          <w:rFonts w:ascii="仿宋" w:hAnsi="仿宋" w:eastAsia="仿宋"/>
          <w:sz w:val="28"/>
          <w:szCs w:val="28"/>
        </w:rPr>
      </w:pPr>
      <w:r>
        <w:rPr>
          <w:rFonts w:hint="eastAsia" w:ascii="仿宋" w:hAnsi="仿宋" w:eastAsia="仿宋"/>
          <w:sz w:val="28"/>
          <w:szCs w:val="28"/>
        </w:rPr>
        <w:t>3.登录后的页面为“全部课程”页面。</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5259070" cy="2936240"/>
            <wp:effectExtent l="0" t="0" r="11430" b="10160"/>
            <wp:docPr id="1767482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82626" name="图片 1"/>
                    <pic:cNvPicPr>
                      <a:picLocks noChangeAspect="1"/>
                    </pic:cNvPicPr>
                  </pic:nvPicPr>
                  <pic:blipFill>
                    <a:blip r:embed="rId8"/>
                    <a:stretch>
                      <a:fillRect/>
                    </a:stretch>
                  </pic:blipFill>
                  <pic:spPr>
                    <a:xfrm>
                      <a:off x="0" y="0"/>
                      <a:ext cx="5259600" cy="2936504"/>
                    </a:xfrm>
                    <a:prstGeom prst="rect">
                      <a:avLst/>
                    </a:prstGeom>
                  </pic:spPr>
                </pic:pic>
              </a:graphicData>
            </a:graphic>
          </wp:inline>
        </w:drawing>
      </w:r>
    </w:p>
    <w:p>
      <w:pPr>
        <w:spacing w:line="360" w:lineRule="auto"/>
        <w:ind w:firstLine="562" w:firstLineChars="200"/>
        <w:rPr>
          <w:rFonts w:ascii="仿宋" w:hAnsi="仿宋" w:eastAsia="仿宋"/>
          <w:b/>
          <w:bCs/>
          <w:sz w:val="28"/>
          <w:szCs w:val="28"/>
        </w:rPr>
      </w:pPr>
      <w:r>
        <w:rPr>
          <w:rFonts w:hint="eastAsia" w:ascii="仿宋" w:hAnsi="仿宋" w:eastAsia="仿宋"/>
          <w:b/>
          <w:sz w:val="28"/>
          <w:szCs w:val="28"/>
        </w:rPr>
        <w:t>仅作示范，具体课程选择以网站课程名后备注为准。此处例：社会实践（面向</w:t>
      </w:r>
      <w:r>
        <w:rPr>
          <w:rFonts w:ascii="Times New Roman" w:hAnsi="Times New Roman" w:eastAsia="仿宋" w:cs="Times New Roman"/>
          <w:b/>
          <w:sz w:val="28"/>
          <w:szCs w:val="28"/>
        </w:rPr>
        <w:t>2020、2021、2022</w:t>
      </w:r>
      <w:r>
        <w:rPr>
          <w:rFonts w:hint="eastAsia" w:ascii="仿宋" w:hAnsi="仿宋" w:eastAsia="仿宋"/>
          <w:b/>
          <w:sz w:val="28"/>
          <w:szCs w:val="28"/>
        </w:rPr>
        <w:t>级本科生）。</w:t>
      </w:r>
    </w:p>
    <w:p>
      <w:pPr>
        <w:spacing w:line="360" w:lineRule="auto"/>
        <w:rPr>
          <w:rFonts w:ascii="仿宋" w:hAnsi="仿宋" w:eastAsia="仿宋"/>
          <w:b/>
          <w:bCs/>
          <w:sz w:val="28"/>
          <w:szCs w:val="28"/>
        </w:rPr>
      </w:pPr>
      <w:r>
        <w:rPr>
          <w:rFonts w:hint="eastAsia" w:ascii="仿宋" w:hAnsi="仿宋" w:eastAsia="仿宋"/>
          <w:b/>
          <w:bCs/>
          <w:sz w:val="28"/>
          <w:szCs w:val="28"/>
        </w:rPr>
        <w:t>（二）完善个人信息</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点击导航栏中的“个人信息”，按要求填写并保存个人信息；</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263515" cy="2583815"/>
            <wp:effectExtent l="0" t="0" r="698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9"/>
                    <a:stretch>
                      <a:fillRect/>
                    </a:stretch>
                  </pic:blipFill>
                  <pic:spPr>
                    <a:xfrm>
                      <a:off x="0" y="0"/>
                      <a:ext cx="5263515" cy="2583815"/>
                    </a:xfrm>
                    <a:prstGeom prst="rect">
                      <a:avLst/>
                    </a:prstGeom>
                  </pic:spPr>
                </pic:pic>
              </a:graphicData>
            </a:graphic>
          </wp:inline>
        </w:drawing>
      </w:r>
    </w:p>
    <w:p>
      <w:pPr>
        <w:spacing w:line="360" w:lineRule="auto"/>
        <w:jc w:val="center"/>
        <w:rPr>
          <w:rFonts w:ascii="仿宋" w:hAnsi="仿宋" w:eastAsia="仿宋"/>
          <w:sz w:val="28"/>
          <w:szCs w:val="28"/>
        </w:rPr>
      </w:pPr>
    </w:p>
    <w:p>
      <w:pPr>
        <w:spacing w:line="360" w:lineRule="auto"/>
        <w:rPr>
          <w:rFonts w:ascii="仿宋" w:hAnsi="仿宋" w:eastAsia="仿宋"/>
          <w:b/>
          <w:bCs/>
          <w:sz w:val="28"/>
          <w:szCs w:val="28"/>
        </w:rPr>
      </w:pPr>
      <w:bookmarkStart w:id="26" w:name="_Toc4102549"/>
      <w:r>
        <w:rPr>
          <w:rFonts w:hint="eastAsia" w:ascii="仿宋" w:hAnsi="仿宋" w:eastAsia="仿宋"/>
          <w:b/>
          <w:bCs/>
          <w:sz w:val="28"/>
          <w:szCs w:val="28"/>
        </w:rPr>
        <w:t>（三）选修课程模块</w:t>
      </w:r>
      <w:bookmarkEnd w:id="26"/>
    </w:p>
    <w:p>
      <w:pPr>
        <w:spacing w:line="360" w:lineRule="auto"/>
        <w:ind w:firstLine="560" w:firstLineChars="200"/>
        <w:rPr>
          <w:rFonts w:ascii="仿宋" w:hAnsi="仿宋" w:eastAsia="仿宋"/>
          <w:sz w:val="28"/>
          <w:szCs w:val="28"/>
        </w:rPr>
      </w:pPr>
      <w:r>
        <w:rPr>
          <w:rFonts w:hint="eastAsia" w:ascii="仿宋" w:hAnsi="仿宋" w:eastAsia="仿宋"/>
          <w:sz w:val="28"/>
          <w:szCs w:val="28"/>
        </w:rPr>
        <w:t>1. 操作流程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 点击导航栏中的“全部课程”后，本学期（春季学期）会出现“社会实践”课程模块。</w:t>
      </w:r>
    </w:p>
    <w:p>
      <w:pPr>
        <w:spacing w:line="360" w:lineRule="auto"/>
        <w:rPr>
          <w:rFonts w:ascii="仿宋" w:hAnsi="仿宋" w:eastAsia="仿宋"/>
          <w:sz w:val="28"/>
          <w:szCs w:val="28"/>
        </w:rPr>
      </w:pPr>
      <w:r>
        <w:rPr>
          <w:rFonts w:ascii="仿宋" w:hAnsi="仿宋" w:eastAsia="仿宋"/>
          <w:sz w:val="28"/>
          <w:szCs w:val="28"/>
        </w:rPr>
        <w:drawing>
          <wp:inline distT="0" distB="0" distL="0" distR="0">
            <wp:extent cx="5259070" cy="2936240"/>
            <wp:effectExtent l="0" t="0" r="11430" b="10160"/>
            <wp:docPr id="210136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6195" name="图片 1"/>
                    <pic:cNvPicPr>
                      <a:picLocks noChangeAspect="1"/>
                    </pic:cNvPicPr>
                  </pic:nvPicPr>
                  <pic:blipFill>
                    <a:blip r:embed="rId8"/>
                    <a:stretch>
                      <a:fillRect/>
                    </a:stretch>
                  </pic:blipFill>
                  <pic:spPr>
                    <a:xfrm>
                      <a:off x="0" y="0"/>
                      <a:ext cx="5259600" cy="2936504"/>
                    </a:xfrm>
                    <a:prstGeom prst="rect">
                      <a:avLst/>
                    </a:prstGeom>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t>（课程界面）</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（2）点击模块后，会进入到模块介绍页面；</w:t>
      </w:r>
    </w:p>
    <w:p>
      <w:pPr>
        <w:spacing w:line="360" w:lineRule="auto"/>
        <w:rPr>
          <w:rFonts w:ascii="仿宋" w:hAnsi="仿宋" w:eastAsia="仿宋"/>
          <w:sz w:val="28"/>
          <w:szCs w:val="28"/>
        </w:rPr>
      </w:pPr>
      <w:r>
        <w:rPr>
          <w:rFonts w:hint="eastAsia" w:ascii="仿宋" w:hAnsi="仿宋" w:eastAsia="仿宋"/>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2358390</wp:posOffset>
            </wp:positionV>
            <wp:extent cx="2872740" cy="396240"/>
            <wp:effectExtent l="0" t="0" r="10160" b="10160"/>
            <wp:wrapNone/>
            <wp:docPr id="2" name="图片 2" descr="164569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5698504(1)"/>
                    <pic:cNvPicPr>
                      <a:picLocks noChangeAspect="1"/>
                    </pic:cNvPicPr>
                  </pic:nvPicPr>
                  <pic:blipFill>
                    <a:blip r:embed="rId10">
                      <a:extLst>
                        <a:ext uri="{28A0092B-C50C-407E-A947-70E740481C1C}">
                          <a14:useLocalDpi xmlns:a14="http://schemas.microsoft.com/office/drawing/2010/main" val="0"/>
                        </a:ext>
                      </a:extLst>
                    </a:blip>
                    <a:srcRect l="22314" t="75399" r="23062" b="9522"/>
                    <a:stretch>
                      <a:fillRect/>
                    </a:stretch>
                  </pic:blipFill>
                  <pic:spPr>
                    <a:xfrm>
                      <a:off x="0" y="0"/>
                      <a:ext cx="2872740" cy="396240"/>
                    </a:xfrm>
                    <a:prstGeom prst="rect">
                      <a:avLst/>
                    </a:prstGeom>
                    <a:ln>
                      <a:noFill/>
                    </a:ln>
                  </pic:spPr>
                </pic:pic>
              </a:graphicData>
            </a:graphic>
          </wp:anchor>
        </w:drawing>
      </w:r>
      <w:r>
        <w:rPr>
          <w:rFonts w:ascii="仿宋" w:hAnsi="仿宋" w:eastAsia="仿宋"/>
          <w:sz w:val="28"/>
          <w:szCs w:val="28"/>
        </w:rPr>
        <w:drawing>
          <wp:inline distT="0" distB="0" distL="0" distR="0">
            <wp:extent cx="5259070" cy="2879725"/>
            <wp:effectExtent l="0" t="0" r="11430" b="3175"/>
            <wp:docPr id="193840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8338" name="图片 1"/>
                    <pic:cNvPicPr>
                      <a:picLocks noChangeAspect="1"/>
                    </pic:cNvPicPr>
                  </pic:nvPicPr>
                  <pic:blipFill>
                    <a:blip r:embed="rId11"/>
                    <a:stretch>
                      <a:fillRect/>
                    </a:stretch>
                  </pic:blipFill>
                  <pic:spPr>
                    <a:xfrm>
                      <a:off x="0" y="0"/>
                      <a:ext cx="5259600" cy="2880106"/>
                    </a:xfrm>
                    <a:prstGeom prst="rect">
                      <a:avLst/>
                    </a:prstGeom>
                  </pic:spPr>
                </pic:pic>
              </a:graphicData>
            </a:graphic>
          </wp:inline>
        </w:drawing>
      </w:r>
    </w:p>
    <w:p>
      <w:pPr>
        <w:spacing w:line="360" w:lineRule="auto"/>
        <w:jc w:val="center"/>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（3）进入介绍页面后，点击“选课”按钮，并点击“确认选课”；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（4）确认选课后，网页会跳转至“我的课程”，页面右下角会显示绿底白字“选课成功！”。在此页面可查看所有已选课程。</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263515" cy="2822575"/>
            <wp:effectExtent l="0" t="0" r="6985" b="9525"/>
            <wp:docPr id="4" name="图片 4" descr="1645698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5698684(1)"/>
                    <pic:cNvPicPr>
                      <a:picLocks noChangeAspect="1"/>
                    </pic:cNvPicPr>
                  </pic:nvPicPr>
                  <pic:blipFill>
                    <a:blip r:embed="rId12"/>
                    <a:stretch>
                      <a:fillRect/>
                    </a:stretch>
                  </pic:blipFill>
                  <pic:spPr>
                    <a:xfrm>
                      <a:off x="0" y="0"/>
                      <a:ext cx="5263515" cy="2822575"/>
                    </a:xfrm>
                    <a:prstGeom prst="rect">
                      <a:avLst/>
                    </a:prstGeom>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2. 注意事项</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Times New Roman" w:hAnsi="Times New Roman" w:eastAsia="仿宋" w:cs="Times New Roman"/>
          <w:sz w:val="28"/>
          <w:szCs w:val="28"/>
        </w:rPr>
        <w:t>202</w:t>
      </w:r>
      <w:r>
        <w:rPr>
          <w:rFonts w:hint="eastAsia" w:ascii="Times New Roman" w:hAnsi="Times New Roman" w:eastAsia="仿宋" w:cs="Times New Roman"/>
          <w:sz w:val="28"/>
          <w:szCs w:val="28"/>
        </w:rPr>
        <w:t>1</w:t>
      </w:r>
      <w:r>
        <w:rPr>
          <w:rFonts w:ascii="Times New Roman" w:hAnsi="Times New Roman" w:eastAsia="仿宋" w:cs="Times New Roman"/>
          <w:sz w:val="28"/>
          <w:szCs w:val="28"/>
        </w:rPr>
        <w:t>级、202</w:t>
      </w:r>
      <w:r>
        <w:rPr>
          <w:rFonts w:hint="eastAsia" w:ascii="Times New Roman" w:hAnsi="Times New Roman" w:eastAsia="仿宋" w:cs="Times New Roman"/>
          <w:sz w:val="28"/>
          <w:szCs w:val="28"/>
        </w:rPr>
        <w:t>2</w:t>
      </w:r>
      <w:r>
        <w:rPr>
          <w:rFonts w:hint="eastAsia" w:ascii="仿宋" w:hAnsi="仿宋" w:eastAsia="仿宋"/>
          <w:sz w:val="28"/>
          <w:szCs w:val="28"/>
        </w:rPr>
        <w:t>级、</w:t>
      </w:r>
      <w:r>
        <w:rPr>
          <w:rFonts w:ascii="Times New Roman" w:hAnsi="Times New Roman" w:eastAsia="仿宋" w:cs="Times New Roman"/>
          <w:sz w:val="28"/>
          <w:szCs w:val="28"/>
        </w:rPr>
        <w:t>202</w:t>
      </w:r>
      <w:r>
        <w:rPr>
          <w:rFonts w:hint="eastAsia" w:ascii="Times New Roman" w:hAnsi="Times New Roman" w:eastAsia="仿宋" w:cs="Times New Roman"/>
          <w:sz w:val="28"/>
          <w:szCs w:val="28"/>
        </w:rPr>
        <w:t>3</w:t>
      </w:r>
      <w:r>
        <w:rPr>
          <w:rFonts w:hint="eastAsia" w:ascii="仿宋" w:hAnsi="仿宋" w:eastAsia="仿宋"/>
          <w:sz w:val="28"/>
          <w:szCs w:val="28"/>
        </w:rPr>
        <w:t>级本科生本学期（春季学期）均可选“社会实践”模块。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（2）本学期选课时间为</w:t>
      </w:r>
      <w:r>
        <w:rPr>
          <w:rFonts w:ascii="Times New Roman" w:hAnsi="Times New Roman" w:eastAsia="仿宋" w:cs="Times New Roman"/>
          <w:b/>
          <w:bCs/>
          <w:sz w:val="28"/>
          <w:szCs w:val="28"/>
          <w:highlight w:val="none"/>
          <w:u w:val="single"/>
        </w:rPr>
        <w:t>202</w:t>
      </w:r>
      <w:r>
        <w:rPr>
          <w:rFonts w:hint="eastAsia" w:ascii="Times New Roman" w:hAnsi="Times New Roman" w:eastAsia="仿宋" w:cs="Times New Roman"/>
          <w:b/>
          <w:bCs/>
          <w:sz w:val="28"/>
          <w:szCs w:val="28"/>
          <w:highlight w:val="none"/>
          <w:u w:val="single"/>
        </w:rPr>
        <w:t>4</w:t>
      </w:r>
      <w:r>
        <w:rPr>
          <w:rFonts w:ascii="Times New Roman" w:hAnsi="Times New Roman" w:eastAsia="仿宋" w:cs="Times New Roman"/>
          <w:b/>
          <w:bCs/>
          <w:sz w:val="28"/>
          <w:szCs w:val="28"/>
          <w:highlight w:val="none"/>
          <w:u w:val="single"/>
        </w:rPr>
        <w:t>年</w:t>
      </w:r>
      <w:r>
        <w:rPr>
          <w:rFonts w:hint="eastAsia" w:ascii="Times New Roman" w:hAnsi="Times New Roman" w:eastAsia="仿宋" w:cs="Times New Roman"/>
          <w:b/>
          <w:bCs/>
          <w:sz w:val="28"/>
          <w:szCs w:val="28"/>
          <w:highlight w:val="none"/>
          <w:u w:val="single"/>
        </w:rPr>
        <w:t>3</w:t>
      </w:r>
      <w:r>
        <w:rPr>
          <w:rFonts w:ascii="Times New Roman" w:hAnsi="Times New Roman" w:eastAsia="仿宋" w:cs="Times New Roman"/>
          <w:b/>
          <w:bCs/>
          <w:sz w:val="28"/>
          <w:szCs w:val="28"/>
          <w:highlight w:val="none"/>
          <w:u w:val="single"/>
        </w:rPr>
        <w:t>月29日</w:t>
      </w:r>
      <w:r>
        <w:rPr>
          <w:rFonts w:hint="eastAsia" w:ascii="Times New Roman" w:hAnsi="Times New Roman" w:eastAsia="仿宋" w:cs="Times New Roman"/>
          <w:b/>
          <w:bCs/>
          <w:sz w:val="28"/>
          <w:szCs w:val="28"/>
          <w:highlight w:val="none"/>
          <w:u w:val="single"/>
        </w:rPr>
        <w:t>（周五）0:</w:t>
      </w:r>
      <w:r>
        <w:rPr>
          <w:rFonts w:ascii="Times New Roman" w:hAnsi="Times New Roman" w:eastAsia="仿宋" w:cs="Times New Roman"/>
          <w:b/>
          <w:bCs/>
          <w:sz w:val="28"/>
          <w:szCs w:val="28"/>
          <w:highlight w:val="none"/>
          <w:u w:val="single"/>
        </w:rPr>
        <w:t>00至</w:t>
      </w:r>
      <w:r>
        <w:rPr>
          <w:rFonts w:hint="eastAsia" w:ascii="Times New Roman" w:hAnsi="Times New Roman" w:eastAsia="仿宋" w:cs="Times New Roman"/>
          <w:b/>
          <w:bCs/>
          <w:sz w:val="28"/>
          <w:szCs w:val="28"/>
          <w:highlight w:val="none"/>
          <w:u w:val="single"/>
        </w:rPr>
        <w:t>4</w:t>
      </w:r>
      <w:r>
        <w:rPr>
          <w:rFonts w:ascii="Times New Roman" w:hAnsi="Times New Roman" w:eastAsia="仿宋" w:cs="Times New Roman"/>
          <w:b/>
          <w:bCs/>
          <w:sz w:val="28"/>
          <w:szCs w:val="28"/>
          <w:highlight w:val="none"/>
          <w:u w:val="single"/>
        </w:rPr>
        <w:t>月30日</w:t>
      </w:r>
      <w:r>
        <w:rPr>
          <w:rFonts w:hint="eastAsia" w:ascii="Times New Roman" w:hAnsi="Times New Roman" w:eastAsia="仿宋" w:cs="Times New Roman"/>
          <w:b/>
          <w:bCs/>
          <w:sz w:val="28"/>
          <w:szCs w:val="28"/>
          <w:highlight w:val="none"/>
          <w:u w:val="single"/>
        </w:rPr>
        <w:t>（周二）2</w:t>
      </w:r>
      <w:r>
        <w:rPr>
          <w:rFonts w:ascii="Times New Roman" w:hAnsi="Times New Roman" w:eastAsia="仿宋" w:cs="Times New Roman"/>
          <w:b/>
          <w:bCs/>
          <w:sz w:val="28"/>
          <w:szCs w:val="28"/>
          <w:highlight w:val="none"/>
          <w:u w:val="single"/>
        </w:rPr>
        <w:t>4:00</w:t>
      </w:r>
      <w:r>
        <w:rPr>
          <w:rFonts w:hint="eastAsia" w:ascii="仿宋" w:hAnsi="仿宋" w:eastAsia="仿宋"/>
          <w:sz w:val="28"/>
          <w:szCs w:val="28"/>
        </w:rPr>
        <w:t>，截止日期后选课系统不再开放；</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（3）请务必确认选上相关课程：若已选上，“我的课程”内会出现该课程，同时“全部课程”内所选课程左上角会出现“已选”标志，如下图：</w:t>
      </w:r>
      <w:bookmarkStart w:id="92" w:name="_GoBack"/>
      <w:bookmarkEnd w:id="92"/>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85060" cy="2186940"/>
            <wp:effectExtent l="0" t="0" r="2540" b="10160"/>
            <wp:docPr id="12"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700453(1)"/>
                    <pic:cNvPicPr>
                      <a:picLocks noChangeAspect="1"/>
                    </pic:cNvPicPr>
                  </pic:nvPicPr>
                  <pic:blipFill>
                    <a:blip r:embed="rId13"/>
                    <a:stretch>
                      <a:fillRect/>
                    </a:stretch>
                  </pic:blipFill>
                  <pic:spPr>
                    <a:xfrm>
                      <a:off x="0" y="0"/>
                      <a:ext cx="2385060" cy="2186940"/>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（4）选课截止前，可以在“我的课程”内点击“退选”按钮取消选课；</w:t>
      </w:r>
    </w:p>
    <w:p>
      <w:pPr>
        <w:spacing w:line="360" w:lineRule="auto"/>
        <w:rPr>
          <w:rFonts w:ascii="仿宋" w:hAnsi="仿宋" w:eastAsia="仿宋"/>
          <w:sz w:val="28"/>
          <w:szCs w:val="28"/>
        </w:rPr>
      </w:pPr>
      <w:r>
        <w:rPr>
          <w:rFonts w:hint="eastAsia" w:ascii="仿宋" w:hAnsi="仿宋" w:eastAsia="仿宋"/>
          <w:sz w:val="28"/>
          <w:szCs w:val="28"/>
        </w:rPr>
        <w:drawing>
          <wp:inline distT="0" distB="0" distL="114300" distR="114300">
            <wp:extent cx="5262245" cy="711200"/>
            <wp:effectExtent l="0" t="0" r="8255" b="0"/>
            <wp:docPr id="11"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699105"/>
                    <pic:cNvPicPr>
                      <a:picLocks noChangeAspect="1"/>
                    </pic:cNvPicPr>
                  </pic:nvPicPr>
                  <pic:blipFill>
                    <a:blip r:embed="rId14"/>
                    <a:stretch>
                      <a:fillRect/>
                    </a:stretch>
                  </pic:blipFill>
                  <pic:spPr>
                    <a:xfrm>
                      <a:off x="0" y="0"/>
                      <a:ext cx="5262245" cy="711200"/>
                    </a:xfrm>
                    <a:prstGeom prst="rect">
                      <a:avLst/>
                    </a:prstGeom>
                  </pic:spPr>
                </pic:pic>
              </a:graphicData>
            </a:graphic>
          </wp:inline>
        </w:drawing>
      </w:r>
    </w:p>
    <w:p>
      <w:pPr>
        <w:spacing w:line="360" w:lineRule="auto"/>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退课后再次点击“全部课程”，所退选课程左上角“已选”标志消失，如下图：</w:t>
      </w:r>
    </w:p>
    <w:p>
      <w:pPr>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209800" cy="2026920"/>
            <wp:effectExtent l="0" t="0" r="0" b="5080"/>
            <wp:docPr id="578072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2673" name="图片 1"/>
                    <pic:cNvPicPr>
                      <a:picLocks noChangeAspect="1"/>
                    </pic:cNvPicPr>
                  </pic:nvPicPr>
                  <pic:blipFill>
                    <a:blip r:embed="rId15"/>
                    <a:stretch>
                      <a:fillRect/>
                    </a:stretch>
                  </pic:blipFill>
                  <pic:spPr>
                    <a:xfrm>
                      <a:off x="0" y="0"/>
                      <a:ext cx="2209992" cy="2027096"/>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（5）退课后，仍可在选课截止前再次选课。</w:t>
      </w:r>
      <w:bookmarkStart w:id="27" w:name="_Toc52299805"/>
      <w:bookmarkEnd w:id="27"/>
      <w:bookmarkStart w:id="28" w:name="_Toc52299794"/>
      <w:bookmarkEnd w:id="28"/>
      <w:bookmarkStart w:id="29" w:name="_Toc22075782"/>
      <w:bookmarkEnd w:id="29"/>
      <w:bookmarkStart w:id="30" w:name="_Toc52299818"/>
      <w:bookmarkEnd w:id="30"/>
      <w:bookmarkStart w:id="31" w:name="_Toc22075780"/>
      <w:bookmarkEnd w:id="31"/>
      <w:bookmarkStart w:id="32" w:name="_Toc52299820"/>
      <w:bookmarkEnd w:id="32"/>
      <w:bookmarkStart w:id="33" w:name="_Toc52299561"/>
      <w:bookmarkEnd w:id="33"/>
      <w:bookmarkStart w:id="34" w:name="_Toc52299563"/>
      <w:bookmarkEnd w:id="34"/>
      <w:bookmarkStart w:id="35" w:name="_Toc52299164"/>
      <w:bookmarkEnd w:id="35"/>
      <w:bookmarkStart w:id="36" w:name="_Toc22041283"/>
      <w:bookmarkEnd w:id="36"/>
      <w:bookmarkStart w:id="37" w:name="_Toc52299792"/>
      <w:bookmarkEnd w:id="37"/>
      <w:bookmarkStart w:id="38" w:name="_Toc52299807"/>
      <w:bookmarkEnd w:id="38"/>
      <w:bookmarkStart w:id="39" w:name="_Toc52299162"/>
      <w:bookmarkEnd w:id="39"/>
      <w:bookmarkStart w:id="40" w:name="_Toc52299848"/>
      <w:bookmarkEnd w:id="40"/>
      <w:bookmarkStart w:id="41" w:name="_Toc22041285"/>
      <w:bookmarkEnd w:id="41"/>
      <w:bookmarkStart w:id="42" w:name="_Toc52299886"/>
      <w:bookmarkEnd w:id="42"/>
      <w:bookmarkStart w:id="43" w:name="_Toc52299850"/>
      <w:bookmarkEnd w:id="43"/>
      <w:bookmarkStart w:id="44" w:name="_Toc52299888"/>
      <w:bookmarkEnd w:id="44"/>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45" w:name="_Toc4102550"/>
      <w:r>
        <w:rPr>
          <w:rFonts w:hint="eastAsia" w:ascii="仿宋" w:hAnsi="仿宋" w:eastAsia="仿宋"/>
          <w:b/>
          <w:bCs/>
          <w:sz w:val="28"/>
          <w:szCs w:val="28"/>
        </w:rPr>
        <w:t>（四）课程学习</w:t>
      </w:r>
      <w:bookmarkEnd w:id="45"/>
    </w:p>
    <w:p>
      <w:pPr>
        <w:spacing w:line="360" w:lineRule="auto"/>
        <w:ind w:firstLine="560" w:firstLineChars="200"/>
        <w:rPr>
          <w:rFonts w:ascii="仿宋" w:hAnsi="仿宋" w:eastAsia="仿宋"/>
          <w:sz w:val="28"/>
          <w:szCs w:val="28"/>
        </w:rPr>
      </w:pPr>
      <w:r>
        <w:rPr>
          <w:rFonts w:hint="eastAsia" w:ascii="仿宋" w:hAnsi="仿宋" w:eastAsia="仿宋"/>
          <w:sz w:val="28"/>
          <w:szCs w:val="28"/>
        </w:rPr>
        <w:t>1. 获取课程相关资料（以下图片仅为示范页面，正式学习资料还未上线）</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（1）点击导航栏的“学习资料”，会出现所有学习资料，可通过搜索框检索得到，也可直接点击查看；</w:t>
      </w:r>
    </w:p>
    <w:p>
      <w:pPr>
        <w:spacing w:line="360" w:lineRule="auto"/>
        <w:jc w:val="right"/>
        <w:rPr>
          <w:rFonts w:ascii="仿宋" w:hAnsi="仿宋" w:eastAsia="仿宋"/>
          <w:sz w:val="28"/>
          <w:szCs w:val="28"/>
        </w:rPr>
      </w:pPr>
      <w:r>
        <w:rPr>
          <w:rFonts w:hint="eastAsia" w:ascii="仿宋" w:hAnsi="仿宋" w:eastAsia="仿宋"/>
          <w:sz w:val="28"/>
          <w:szCs w:val="28"/>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4767253" cy="2212589"/>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（2）点击某一资料名字后，会进入该资料的详细页面，文字、音频、视频均可在线直接查看和学习（以“学习资料”一项为例）；</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（3）若需下载视频、音频，请用鼠标右键点击所需下载的视频、音频所在方框（方框底部文字也为无效区域），会出现调节播放速度、另存为等选项，点击另存为即可下载（以音频下载为例）。</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2415540" cy="1969135"/>
            <wp:effectExtent l="0" t="0" r="1016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436255" cy="1986607"/>
                    </a:xfrm>
                    <a:prstGeom prst="rect">
                      <a:avLst/>
                    </a:prstGeom>
                  </pic:spPr>
                </pic:pic>
              </a:graphicData>
            </a:graphic>
          </wp:inline>
        </w:drawing>
      </w:r>
    </w:p>
    <w:p>
      <w:pPr>
        <w:spacing w:line="360" w:lineRule="auto"/>
        <w:ind w:firstLine="560" w:firstLineChars="200"/>
        <w:rPr>
          <w:rFonts w:ascii="仿宋" w:hAnsi="仿宋" w:eastAsia="仿宋"/>
          <w:sz w:val="28"/>
          <w:szCs w:val="28"/>
        </w:rPr>
      </w:pPr>
      <w:r>
        <w:rPr>
          <w:rFonts w:hint="eastAsia" w:ascii="仿宋" w:hAnsi="仿宋" w:eastAsia="仿宋"/>
          <w:sz w:val="28"/>
          <w:szCs w:val="28"/>
        </w:rPr>
        <w:t>2. 可以通过“通知公告”栏目查看课程安排与进度</w:t>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pPr>
        <w:spacing w:line="360" w:lineRule="auto"/>
        <w:jc w:val="center"/>
        <w:rPr>
          <w:rFonts w:ascii="仿宋" w:hAnsi="仿宋" w:eastAsia="仿宋"/>
          <w:sz w:val="28"/>
          <w:szCs w:val="28"/>
        </w:rPr>
        <w:sectPr>
          <w:pgSz w:w="11900" w:h="16840"/>
          <w:pgMar w:top="1440" w:right="1800" w:bottom="1440" w:left="1800" w:header="851" w:footer="992" w:gutter="0"/>
          <w:cols w:space="425" w:num="1"/>
          <w:docGrid w:type="lines" w:linePitch="423" w:charSpace="0"/>
        </w:sectPr>
      </w:pPr>
    </w:p>
    <w:p>
      <w:pPr>
        <w:pStyle w:val="2"/>
        <w:spacing w:before="0" w:after="0" w:line="360" w:lineRule="auto"/>
        <w:rPr>
          <w:rFonts w:ascii="黑体" w:hAnsi="黑体" w:eastAsia="黑体" w:cs="黑体"/>
          <w:szCs w:val="28"/>
        </w:rPr>
      </w:pPr>
      <w:bookmarkStart w:id="46" w:name="_Toc4102551"/>
      <w:bookmarkStart w:id="47" w:name="_Toc130753227"/>
      <w:bookmarkStart w:id="48" w:name="_Toc52299889"/>
      <w:r>
        <w:rPr>
          <w:rFonts w:hint="eastAsia" w:ascii="黑体" w:hAnsi="黑体" w:eastAsia="黑体" w:cs="黑体"/>
          <w:szCs w:val="28"/>
        </w:rPr>
        <w:t>四、 常见问题解答</w:t>
      </w:r>
      <w:bookmarkEnd w:id="46"/>
      <w:bookmarkEnd w:id="47"/>
      <w:bookmarkEnd w:id="48"/>
    </w:p>
    <w:p>
      <w:pPr>
        <w:spacing w:line="360" w:lineRule="auto"/>
        <w:rPr>
          <w:rFonts w:ascii="仿宋" w:hAnsi="仿宋" w:eastAsia="仿宋"/>
          <w:b/>
          <w:bCs/>
          <w:sz w:val="28"/>
          <w:szCs w:val="28"/>
        </w:rPr>
      </w:pPr>
      <w:bookmarkStart w:id="49" w:name="_Toc3998833"/>
      <w:bookmarkStart w:id="50" w:name="_Toc4102552"/>
      <w:bookmarkStart w:id="51" w:name="_Toc22075785"/>
      <w:bookmarkStart w:id="52" w:name="_Toc22041288"/>
      <w:r>
        <w:rPr>
          <w:rFonts w:hint="eastAsia" w:ascii="仿宋" w:hAnsi="仿宋" w:eastAsia="仿宋"/>
          <w:b/>
          <w:bCs/>
          <w:sz w:val="28"/>
          <w:szCs w:val="28"/>
        </w:rPr>
        <w:t>（一）选课计划里找不到思政实践，如何选课呢？</w:t>
      </w:r>
      <w:bookmarkEnd w:id="49"/>
      <w:bookmarkEnd w:id="50"/>
      <w:bookmarkEnd w:id="51"/>
      <w:bookmarkEnd w:id="52"/>
    </w:p>
    <w:p>
      <w:pPr>
        <w:spacing w:line="360" w:lineRule="auto"/>
        <w:ind w:firstLine="560" w:firstLineChars="200"/>
        <w:rPr>
          <w:rFonts w:ascii="仿宋" w:hAnsi="仿宋" w:eastAsia="仿宋"/>
          <w:sz w:val="28"/>
          <w:szCs w:val="28"/>
        </w:rPr>
      </w:pPr>
      <w:r>
        <w:rPr>
          <w:rFonts w:hint="eastAsia" w:ascii="仿宋" w:hAnsi="仿宋" w:eastAsia="仿宋"/>
          <w:sz w:val="28"/>
          <w:szCs w:val="28"/>
        </w:rPr>
        <w:t>本课程从</w:t>
      </w:r>
      <w:r>
        <w:rPr>
          <w:rFonts w:ascii="Times New Roman" w:hAnsi="Times New Roman" w:eastAsia="仿宋" w:cs="Times New Roman"/>
          <w:sz w:val="28"/>
          <w:szCs w:val="28"/>
        </w:rPr>
        <w:t>2018</w:t>
      </w:r>
      <w:r>
        <w:rPr>
          <w:rFonts w:hint="eastAsia" w:ascii="仿宋" w:hAnsi="仿宋" w:eastAsia="仿宋"/>
          <w:sz w:val="28"/>
          <w:szCs w:val="28"/>
        </w:rPr>
        <w:t>级开始开设，属于全校必修政治课。该课程将从学生大一开始，持续两年半。本学期思政实践课程已经自动加入选课结果中，无需从选课网单独选课。但仍需要登录“北京大学思政实践平台”（以下简称为“平台”）</w:t>
      </w:r>
      <w:r>
        <w:rPr>
          <w:rFonts w:ascii="Times New Roman" w:hAnsi="Times New Roman" w:eastAsia="仿宋" w:cs="Times New Roman"/>
          <w:sz w:val="28"/>
          <w:szCs w:val="28"/>
        </w:rPr>
        <w:t>practice.pku.edu.cn</w:t>
      </w:r>
      <w:r>
        <w:rPr>
          <w:rFonts w:hint="eastAsia" w:ascii="仿宋" w:hAnsi="仿宋" w:eastAsia="仿宋"/>
          <w:sz w:val="28"/>
          <w:szCs w:val="28"/>
        </w:rPr>
        <w:t>进行模块选择。</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53" w:name="_Toc22075786"/>
      <w:bookmarkStart w:id="54" w:name="_Toc3998834"/>
      <w:bookmarkStart w:id="55" w:name="_Toc4102553"/>
      <w:bookmarkStart w:id="56" w:name="_Toc22041289"/>
      <w:r>
        <w:rPr>
          <w:rFonts w:hint="eastAsia" w:ascii="仿宋" w:hAnsi="仿宋" w:eastAsia="仿宋"/>
          <w:b/>
          <w:bCs/>
          <w:sz w:val="28"/>
          <w:szCs w:val="28"/>
        </w:rPr>
        <w:t>（二）降转到</w:t>
      </w:r>
      <w:r>
        <w:rPr>
          <w:rFonts w:ascii="Times New Roman" w:hAnsi="Times New Roman" w:eastAsia="仿宋" w:cs="Times New Roman"/>
          <w:b/>
          <w:bCs/>
          <w:sz w:val="28"/>
          <w:szCs w:val="28"/>
        </w:rPr>
        <w:t>20</w:t>
      </w:r>
      <w:r>
        <w:rPr>
          <w:rFonts w:hint="eastAsia" w:ascii="Times New Roman" w:hAnsi="Times New Roman" w:eastAsia="仿宋" w:cs="Times New Roman"/>
          <w:b/>
          <w:bCs/>
          <w:sz w:val="28"/>
          <w:szCs w:val="28"/>
        </w:rPr>
        <w:t>22</w:t>
      </w:r>
      <w:r>
        <w:rPr>
          <w:rFonts w:hint="eastAsia" w:ascii="仿宋" w:hAnsi="仿宋" w:eastAsia="仿宋"/>
          <w:b/>
          <w:bCs/>
          <w:sz w:val="28"/>
          <w:szCs w:val="28"/>
        </w:rPr>
        <w:t>级或</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rPr>
        <w:t>3</w:t>
      </w:r>
      <w:r>
        <w:rPr>
          <w:rFonts w:hint="eastAsia" w:ascii="仿宋" w:hAnsi="仿宋" w:eastAsia="仿宋"/>
          <w:b/>
          <w:bCs/>
          <w:sz w:val="28"/>
          <w:szCs w:val="28"/>
        </w:rPr>
        <w:t>级的学生需要选修思政实践课程吗？</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rPr>
        <w:t>1</w:t>
      </w:r>
      <w:r>
        <w:rPr>
          <w:rFonts w:hint="eastAsia" w:ascii="仿宋" w:hAnsi="仿宋" w:eastAsia="仿宋"/>
          <w:b/>
          <w:bCs/>
          <w:sz w:val="28"/>
          <w:szCs w:val="28"/>
        </w:rPr>
        <w:t>级及之后年级的降转学生的选课截止日期是？</w:t>
      </w:r>
      <w:bookmarkEnd w:id="53"/>
      <w:bookmarkEnd w:id="54"/>
      <w:bookmarkEnd w:id="55"/>
      <w:bookmarkEnd w:id="56"/>
    </w:p>
    <w:p>
      <w:pPr>
        <w:spacing w:line="360" w:lineRule="auto"/>
        <w:ind w:firstLine="560" w:firstLineChars="200"/>
        <w:rPr>
          <w:rFonts w:ascii="仿宋" w:hAnsi="仿宋" w:eastAsia="仿宋"/>
          <w:sz w:val="28"/>
          <w:szCs w:val="28"/>
        </w:rPr>
      </w:pPr>
      <w:r>
        <w:rPr>
          <w:rFonts w:hint="eastAsia" w:ascii="仿宋" w:hAnsi="仿宋" w:eastAsia="仿宋"/>
          <w:sz w:val="28"/>
          <w:szCs w:val="28"/>
        </w:rPr>
        <w:t>该课程从</w:t>
      </w:r>
      <w:r>
        <w:rPr>
          <w:rFonts w:ascii="Times New Roman" w:hAnsi="Times New Roman" w:eastAsia="仿宋" w:cs="Times New Roman"/>
          <w:sz w:val="28"/>
          <w:szCs w:val="28"/>
        </w:rPr>
        <w:t>2018</w:t>
      </w:r>
      <w:r>
        <w:rPr>
          <w:rFonts w:hint="eastAsia" w:ascii="仿宋" w:hAnsi="仿宋" w:eastAsia="仿宋"/>
          <w:sz w:val="28"/>
          <w:szCs w:val="28"/>
        </w:rPr>
        <w:t>级开始开设，降转学生的培养方案以入学年份的版本为准。</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w:t>
      </w:r>
      <w:r>
        <w:rPr>
          <w:rFonts w:hint="eastAsia" w:ascii="Times New Roman" w:hAnsi="Times New Roman" w:eastAsia="仿宋" w:cs="Times New Roman"/>
          <w:sz w:val="28"/>
          <w:szCs w:val="28"/>
        </w:rPr>
        <w:t>1</w:t>
      </w:r>
      <w:r>
        <w:rPr>
          <w:rFonts w:hint="eastAsia" w:ascii="仿宋" w:hAnsi="仿宋" w:eastAsia="仿宋"/>
          <w:sz w:val="28"/>
          <w:szCs w:val="28"/>
        </w:rPr>
        <w:t>级及之后年级的学生须在入学两年半之内完成相应模块，不受转专业影响。</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57" w:name="_Toc22041290"/>
      <w:bookmarkStart w:id="58" w:name="_Toc22075787"/>
      <w:bookmarkStart w:id="59" w:name="_Toc4102554"/>
      <w:bookmarkStart w:id="60" w:name="_Toc3998835"/>
      <w:r>
        <w:rPr>
          <w:rFonts w:hint="eastAsia" w:ascii="仿宋" w:hAnsi="仿宋" w:eastAsia="仿宋"/>
          <w:b/>
          <w:bCs/>
          <w:sz w:val="28"/>
          <w:szCs w:val="28"/>
        </w:rPr>
        <w:t>（三）港澳台学生和留学生需要选修思政实践吗？</w:t>
      </w:r>
      <w:bookmarkEnd w:id="57"/>
      <w:bookmarkEnd w:id="58"/>
      <w:bookmarkEnd w:id="59"/>
      <w:bookmarkEnd w:id="60"/>
    </w:p>
    <w:p>
      <w:pPr>
        <w:spacing w:line="360" w:lineRule="auto"/>
        <w:ind w:firstLine="560" w:firstLineChars="200"/>
        <w:rPr>
          <w:rFonts w:ascii="仿宋" w:hAnsi="仿宋" w:eastAsia="仿宋"/>
          <w:sz w:val="28"/>
          <w:szCs w:val="28"/>
        </w:rPr>
      </w:pPr>
      <w:r>
        <w:rPr>
          <w:rFonts w:hint="eastAsia" w:ascii="仿宋" w:hAnsi="仿宋" w:eastAsia="仿宋"/>
          <w:sz w:val="28"/>
          <w:szCs w:val="28"/>
        </w:rPr>
        <w:t>不必须。</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61" w:name="_Toc4102555"/>
      <w:bookmarkStart w:id="62" w:name="_Toc22075788"/>
      <w:bookmarkStart w:id="63" w:name="_Toc3998836"/>
      <w:bookmarkStart w:id="64" w:name="_Toc22041291"/>
      <w:r>
        <w:rPr>
          <w:rFonts w:hint="eastAsia" w:ascii="仿宋" w:hAnsi="仿宋" w:eastAsia="仿宋"/>
          <w:b/>
          <w:bCs/>
          <w:sz w:val="28"/>
          <w:szCs w:val="28"/>
        </w:rPr>
        <w:t>（四）如果本学期已经选满学分上限，这门课还能选上吗？</w:t>
      </w:r>
      <w:bookmarkEnd w:id="61"/>
      <w:bookmarkEnd w:id="62"/>
      <w:bookmarkEnd w:id="63"/>
      <w:bookmarkEnd w:id="64"/>
    </w:p>
    <w:p>
      <w:pPr>
        <w:spacing w:line="360" w:lineRule="auto"/>
        <w:ind w:firstLine="560" w:firstLineChars="200"/>
        <w:rPr>
          <w:rFonts w:ascii="仿宋" w:hAnsi="仿宋" w:eastAsia="仿宋"/>
          <w:sz w:val="28"/>
          <w:szCs w:val="28"/>
        </w:rPr>
      </w:pPr>
      <w:r>
        <w:rPr>
          <w:rFonts w:hint="eastAsia" w:ascii="仿宋" w:hAnsi="仿宋" w:eastAsia="仿宋"/>
          <w:sz w:val="28"/>
          <w:szCs w:val="28"/>
        </w:rPr>
        <w:t>可以。思政实践课程不受学分上限影响，无需通过选课网进行选课操作。</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65" w:name="_Toc22075789"/>
      <w:bookmarkStart w:id="66" w:name="_Toc4102556"/>
      <w:bookmarkStart w:id="67" w:name="_Toc22041292"/>
      <w:bookmarkStart w:id="68" w:name="_Toc3998837"/>
      <w:r>
        <w:rPr>
          <w:rFonts w:hint="eastAsia" w:ascii="仿宋" w:hAnsi="仿宋" w:eastAsia="仿宋"/>
          <w:b/>
          <w:bCs/>
          <w:sz w:val="28"/>
          <w:szCs w:val="28"/>
        </w:rPr>
        <w:t>（五）思政实践课程加入课表后，上课的时间会不会和已选课程冲突呢？</w:t>
      </w:r>
      <w:bookmarkEnd w:id="65"/>
      <w:bookmarkEnd w:id="66"/>
      <w:bookmarkEnd w:id="67"/>
      <w:bookmarkEnd w:id="68"/>
    </w:p>
    <w:p>
      <w:pPr>
        <w:spacing w:line="360" w:lineRule="auto"/>
        <w:ind w:firstLine="560" w:firstLineChars="200"/>
        <w:rPr>
          <w:rFonts w:ascii="仿宋" w:hAnsi="仿宋" w:eastAsia="仿宋"/>
          <w:sz w:val="28"/>
          <w:szCs w:val="28"/>
        </w:rPr>
      </w:pPr>
      <w:r>
        <w:rPr>
          <w:rFonts w:hint="eastAsia" w:ascii="仿宋" w:hAnsi="仿宋" w:eastAsia="仿宋"/>
          <w:sz w:val="28"/>
          <w:szCs w:val="28"/>
        </w:rPr>
        <w:t>不会。为了避免时间冲突，“思想政治实践（上）”课程“志愿服务”模块将会开设</w:t>
      </w:r>
      <w:r>
        <w:rPr>
          <w:rFonts w:hint="eastAsia" w:ascii="仿宋" w:hAnsi="仿宋" w:eastAsia="仿宋"/>
          <w:b/>
          <w:bCs/>
          <w:sz w:val="28"/>
          <w:szCs w:val="28"/>
        </w:rPr>
        <w:t>不少于六讲</w:t>
      </w:r>
      <w:r>
        <w:rPr>
          <w:rFonts w:hint="eastAsia" w:ascii="仿宋" w:hAnsi="仿宋" w:eastAsia="仿宋"/>
          <w:sz w:val="28"/>
          <w:szCs w:val="28"/>
        </w:rPr>
        <w:t>的理论课，并尽量安排在不同的时段，选课同学只需要选择两讲报名参加。建议同学们最好在大一期间修完思政实践的两个模块，以免之后与课程时间冲突。</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69" w:name="_Toc4102557"/>
      <w:bookmarkStart w:id="70" w:name="_Toc22075790"/>
      <w:bookmarkStart w:id="71" w:name="_Toc22041293"/>
      <w:bookmarkStart w:id="72" w:name="_Toc3998838"/>
      <w:r>
        <w:rPr>
          <w:rFonts w:hint="eastAsia" w:ascii="仿宋" w:hAnsi="仿宋" w:eastAsia="仿宋"/>
          <w:b/>
          <w:bCs/>
          <w:sz w:val="28"/>
          <w:szCs w:val="28"/>
        </w:rPr>
        <w:t>（六）什么是课程模块？选课和选课程模块是什么关系？</w:t>
      </w:r>
      <w:bookmarkEnd w:id="69"/>
      <w:bookmarkEnd w:id="70"/>
      <w:bookmarkEnd w:id="71"/>
      <w:bookmarkEnd w:id="72"/>
    </w:p>
    <w:p>
      <w:pPr>
        <w:spacing w:line="360" w:lineRule="auto"/>
        <w:ind w:firstLine="560" w:firstLineChars="200"/>
        <w:rPr>
          <w:rFonts w:ascii="仿宋" w:hAnsi="仿宋" w:eastAsia="仿宋"/>
          <w:sz w:val="28"/>
          <w:szCs w:val="28"/>
        </w:rPr>
      </w:pPr>
      <w:r>
        <w:rPr>
          <w:rFonts w:hint="eastAsia" w:ascii="仿宋" w:hAnsi="仿宋" w:eastAsia="仿宋"/>
          <w:sz w:val="28"/>
          <w:szCs w:val="28"/>
        </w:rPr>
        <w:t>“思想政治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Times New Roman" w:hAnsi="Times New Roman" w:eastAsia="仿宋" w:cs="Times New Roman"/>
          <w:sz w:val="28"/>
          <w:szCs w:val="28"/>
        </w:rPr>
        <w:t>practice.pku.edu.cn</w:t>
      </w:r>
      <w:r>
        <w:rPr>
          <w:rFonts w:hint="eastAsia" w:ascii="仿宋" w:hAnsi="仿宋" w:eastAsia="仿宋"/>
          <w:sz w:val="28"/>
          <w:szCs w:val="28"/>
        </w:rPr>
        <w:t>的选课</w:t>
      </w:r>
      <w:bookmarkStart w:id="73" w:name="_Toc4102559"/>
      <w:bookmarkStart w:id="74" w:name="_Toc3998840"/>
      <w:r>
        <w:rPr>
          <w:rFonts w:hint="eastAsia" w:ascii="仿宋" w:hAnsi="仿宋" w:eastAsia="仿宋"/>
          <w:sz w:val="28"/>
          <w:szCs w:val="28"/>
        </w:rPr>
        <w:t>。</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75" w:name="_Toc22075791"/>
      <w:bookmarkStart w:id="76" w:name="_Toc22041294"/>
      <w:r>
        <w:rPr>
          <w:rFonts w:hint="eastAsia" w:ascii="仿宋" w:hAnsi="仿宋" w:eastAsia="仿宋"/>
          <w:b/>
          <w:bCs/>
          <w:sz w:val="28"/>
          <w:szCs w:val="28"/>
        </w:rPr>
        <w:t>（七）我该如何选择“爱乐传习”、“志愿服务”、“社会实践”这些具体的课程模块呢？</w:t>
      </w:r>
      <w:bookmarkEnd w:id="73"/>
      <w:bookmarkEnd w:id="74"/>
      <w:bookmarkEnd w:id="75"/>
      <w:bookmarkEnd w:id="76"/>
    </w:p>
    <w:p>
      <w:pPr>
        <w:spacing w:line="360" w:lineRule="auto"/>
        <w:ind w:firstLine="560" w:firstLineChars="200"/>
        <w:rPr>
          <w:rFonts w:ascii="仿宋" w:hAnsi="仿宋" w:eastAsia="仿宋"/>
          <w:sz w:val="28"/>
          <w:szCs w:val="28"/>
        </w:rPr>
      </w:pPr>
      <w:r>
        <w:rPr>
          <w:rFonts w:hint="eastAsia" w:ascii="仿宋" w:hAnsi="仿宋" w:eastAsia="仿宋"/>
          <w:sz w:val="28"/>
          <w:szCs w:val="28"/>
        </w:rPr>
        <w:t>选择具体的课程模块需要登录课程平台</w:t>
      </w:r>
      <w:r>
        <w:rPr>
          <w:rFonts w:ascii="Times New Roman" w:hAnsi="Times New Roman" w:eastAsia="仿宋" w:cs="Times New Roman"/>
          <w:sz w:val="28"/>
          <w:szCs w:val="28"/>
        </w:rPr>
        <w:t>practice.pku.edu.cn</w:t>
      </w:r>
      <w:r>
        <w:rPr>
          <w:rFonts w:hint="eastAsia" w:ascii="仿宋" w:hAnsi="仿宋" w:eastAsia="仿宋"/>
          <w:sz w:val="28"/>
          <w:szCs w:val="28"/>
        </w:rPr>
        <w:t>（用户名、密码与校内门户相同），完善个人信息后根据选课平台使用方法进行操作。</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77" w:name="_Toc4102560"/>
      <w:bookmarkStart w:id="78" w:name="_Toc22075792"/>
      <w:bookmarkStart w:id="79" w:name="_Toc22041295"/>
      <w:bookmarkStart w:id="80" w:name="_Toc3998841"/>
      <w:r>
        <w:rPr>
          <w:rFonts w:hint="eastAsia" w:ascii="仿宋" w:hAnsi="仿宋" w:eastAsia="仿宋"/>
          <w:b/>
          <w:bCs/>
          <w:sz w:val="28"/>
          <w:szCs w:val="28"/>
        </w:rPr>
        <w:t>（八）如何查看课程各个模块的具体安排？</w:t>
      </w:r>
      <w:bookmarkEnd w:id="77"/>
      <w:bookmarkEnd w:id="78"/>
      <w:bookmarkEnd w:id="79"/>
      <w:bookmarkEnd w:id="80"/>
    </w:p>
    <w:p>
      <w:pPr>
        <w:spacing w:line="360" w:lineRule="auto"/>
        <w:ind w:firstLine="560" w:firstLineChars="200"/>
        <w:rPr>
          <w:rFonts w:ascii="仿宋" w:hAnsi="仿宋" w:eastAsia="仿宋"/>
          <w:sz w:val="28"/>
          <w:szCs w:val="28"/>
        </w:rPr>
      </w:pPr>
      <w:r>
        <w:rPr>
          <w:rFonts w:hint="eastAsia" w:ascii="仿宋" w:hAnsi="仿宋" w:eastAsia="仿宋"/>
          <w:sz w:val="28"/>
          <w:szCs w:val="28"/>
        </w:rPr>
        <w:t>课程的时间、地点、进度、考核要求等具体安排可以在课程平台的“通知公告”专栏查阅。各院系也会在相应的时间节点进行通知提醒。</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81" w:name="_Toc22041296"/>
      <w:bookmarkStart w:id="82" w:name="_Toc22075793"/>
      <w:bookmarkStart w:id="83" w:name="_Toc3998842"/>
      <w:bookmarkStart w:id="84" w:name="_Toc4102561"/>
      <w:r>
        <w:rPr>
          <w:rFonts w:hint="eastAsia" w:ascii="仿宋" w:hAnsi="仿宋" w:eastAsia="仿宋"/>
          <w:b/>
          <w:bCs/>
          <w:sz w:val="28"/>
          <w:szCs w:val="28"/>
        </w:rPr>
        <w:t>（九）课程成绩怎么计算？</w:t>
      </w:r>
      <w:bookmarkEnd w:id="81"/>
      <w:bookmarkEnd w:id="82"/>
      <w:bookmarkEnd w:id="83"/>
      <w:bookmarkEnd w:id="84"/>
    </w:p>
    <w:p>
      <w:pPr>
        <w:spacing w:line="360" w:lineRule="auto"/>
        <w:ind w:firstLine="560" w:firstLineChars="200"/>
        <w:rPr>
          <w:rFonts w:ascii="仿宋" w:hAnsi="仿宋" w:eastAsia="仿宋"/>
          <w:sz w:val="28"/>
          <w:szCs w:val="28"/>
        </w:rPr>
      </w:pPr>
      <w:r>
        <w:rPr>
          <w:rFonts w:hint="eastAsia" w:ascii="仿宋" w:hAnsi="仿宋" w:eastAsia="仿宋"/>
          <w:sz w:val="28"/>
          <w:szCs w:val="28"/>
        </w:rPr>
        <w:t>对于</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rPr>
        <w:t>1</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w:t>
      </w:r>
      <w:r>
        <w:rPr>
          <w:rFonts w:hint="eastAsia" w:ascii="Times New Roman" w:hAnsi="Times New Roman" w:eastAsia="仿宋" w:cs="Times New Roman"/>
          <w:sz w:val="28"/>
          <w:szCs w:val="28"/>
        </w:rPr>
        <w:t>22</w:t>
      </w:r>
      <w:r>
        <w:rPr>
          <w:rFonts w:hint="eastAsia" w:ascii="仿宋" w:hAnsi="仿宋" w:eastAsia="仿宋"/>
          <w:sz w:val="28"/>
          <w:szCs w:val="28"/>
        </w:rPr>
        <w:t>级、</w:t>
      </w:r>
      <w:r>
        <w:rPr>
          <w:rFonts w:hint="eastAsia" w:ascii="Times New Roman" w:hAnsi="Times New Roman" w:eastAsia="仿宋" w:cs="Times New Roman"/>
          <w:sz w:val="28"/>
          <w:szCs w:val="28"/>
        </w:rPr>
        <w:t>2023</w:t>
      </w:r>
      <w:r>
        <w:rPr>
          <w:rFonts w:hint="eastAsia" w:ascii="仿宋" w:hAnsi="仿宋" w:eastAsia="仿宋"/>
          <w:sz w:val="28"/>
          <w:szCs w:val="28"/>
        </w:rPr>
        <w:t>级本科生，“思想政治实践（上）”课程（即“爱乐传习”与“志愿服务”模块）和“思想政治实践（下）”课程的成绩均按“合格”与“不合格”进行评定。</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具体评定标准以当学期结课通知文件为准。</w:t>
      </w:r>
    </w:p>
    <w:p>
      <w:pPr>
        <w:spacing w:line="360" w:lineRule="auto"/>
        <w:ind w:firstLine="560" w:firstLineChars="200"/>
        <w:rPr>
          <w:rFonts w:ascii="仿宋" w:hAnsi="仿宋" w:eastAsia="仿宋"/>
          <w:sz w:val="28"/>
          <w:szCs w:val="28"/>
        </w:rPr>
      </w:pPr>
    </w:p>
    <w:p>
      <w:pPr>
        <w:spacing w:line="360" w:lineRule="auto"/>
        <w:rPr>
          <w:rFonts w:ascii="仿宋" w:hAnsi="仿宋" w:eastAsia="仿宋"/>
          <w:b/>
          <w:bCs/>
          <w:sz w:val="28"/>
          <w:szCs w:val="28"/>
        </w:rPr>
      </w:pPr>
      <w:bookmarkStart w:id="85" w:name="_Toc22041297"/>
      <w:bookmarkStart w:id="86" w:name="_Toc22075794"/>
      <w:bookmarkStart w:id="87" w:name="_Toc4102562"/>
      <w:bookmarkStart w:id="88" w:name="_Toc3998843"/>
      <w:r>
        <w:rPr>
          <w:rFonts w:hint="eastAsia" w:ascii="仿宋" w:hAnsi="仿宋" w:eastAsia="仿宋"/>
          <w:b/>
          <w:bCs/>
          <w:sz w:val="28"/>
          <w:szCs w:val="28"/>
        </w:rPr>
        <w:t>（十）如果在入学两年半内，遇到休学、保留学籍或交流状态怎么办？</w:t>
      </w:r>
      <w:bookmarkEnd w:id="85"/>
      <w:bookmarkEnd w:id="86"/>
      <w:bookmarkEnd w:id="87"/>
      <w:bookmarkEnd w:id="88"/>
      <w:r>
        <w:rPr>
          <w:rFonts w:hint="eastAsia" w:ascii="仿宋" w:hAnsi="仿宋" w:eastAsia="仿宋"/>
          <w:b/>
          <w:bCs/>
          <w:sz w:val="28"/>
          <w:szCs w:val="28"/>
        </w:rPr>
        <w:t xml:space="preserve">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如学生在入学两年半内遇到休学、保留学籍或交流状态，并没有完成课程要求，则学生须在复学后的第一学期选课并完成。</w:t>
      </w:r>
    </w:p>
    <w:p>
      <w:pPr>
        <w:spacing w:line="360" w:lineRule="auto"/>
        <w:rPr>
          <w:rFonts w:ascii="仿宋" w:hAnsi="仿宋" w:eastAsia="仿宋"/>
          <w:sz w:val="28"/>
          <w:szCs w:val="28"/>
        </w:rPr>
      </w:pPr>
      <w:r>
        <w:rPr>
          <w:rFonts w:hint="eastAsia" w:ascii="仿宋" w:hAnsi="仿宋" w:eastAsia="仿宋"/>
          <w:b/>
          <w:sz w:val="28"/>
          <w:szCs w:val="28"/>
        </w:rPr>
        <w:t>注意：</w:t>
      </w:r>
      <w:r>
        <w:rPr>
          <w:rFonts w:hint="eastAsia" w:ascii="仿宋" w:hAnsi="仿宋" w:eastAsia="仿宋"/>
          <w:sz w:val="28"/>
          <w:szCs w:val="28"/>
        </w:rPr>
        <w:t>“思想政治实践”课程不允许学生中期退课。</w:t>
      </w:r>
    </w:p>
    <w:p>
      <w:pPr>
        <w:spacing w:line="360" w:lineRule="auto"/>
        <w:rPr>
          <w:rFonts w:ascii="仿宋" w:hAnsi="仿宋" w:eastAsia="仿宋"/>
          <w:sz w:val="28"/>
          <w:szCs w:val="28"/>
        </w:rPr>
      </w:pPr>
    </w:p>
    <w:p>
      <w:pPr>
        <w:spacing w:line="360" w:lineRule="auto"/>
        <w:rPr>
          <w:rFonts w:ascii="仿宋" w:hAnsi="仿宋" w:eastAsia="仿宋"/>
          <w:b/>
          <w:bCs/>
          <w:sz w:val="28"/>
          <w:szCs w:val="28"/>
        </w:rPr>
      </w:pPr>
      <w:bookmarkStart w:id="89" w:name="_Toc22075795"/>
      <w:bookmarkStart w:id="90" w:name="_Toc22041298"/>
      <w:bookmarkStart w:id="91" w:name="_Toc4102563"/>
      <w:r>
        <w:rPr>
          <w:rFonts w:hint="eastAsia" w:ascii="仿宋" w:hAnsi="仿宋" w:eastAsia="仿宋"/>
          <w:b/>
          <w:bCs/>
          <w:sz w:val="28"/>
          <w:szCs w:val="28"/>
        </w:rPr>
        <w:t>（十一）审核时，选课所在学年以前完成的社会实践/志愿服务是否有效？比如：我在大二选课，大一时参与的志愿服务能否被认定为有效。</w:t>
      </w:r>
      <w:bookmarkEnd w:id="89"/>
      <w:bookmarkEnd w:id="90"/>
      <w:bookmarkEnd w:id="91"/>
    </w:p>
    <w:p>
      <w:pPr>
        <w:spacing w:line="360" w:lineRule="auto"/>
        <w:ind w:firstLine="560" w:firstLineChars="200"/>
        <w:rPr>
          <w:rFonts w:ascii="仿宋" w:hAnsi="仿宋" w:eastAsia="仿宋" w:cs="Times New Roman"/>
          <w:sz w:val="24"/>
        </w:rPr>
      </w:pPr>
      <w:r>
        <w:rPr>
          <w:rFonts w:hint="eastAsia" w:ascii="仿宋" w:hAnsi="仿宋" w:eastAsia="仿宋"/>
          <w:sz w:val="28"/>
          <w:szCs w:val="28"/>
        </w:rPr>
        <w:t>无效。相关素材仅在考核期限内有效。若重新选课，学生需重新完成相关课程的所有环节。</w:t>
      </w:r>
    </w:p>
    <w:p>
      <w:pPr>
        <w:rPr>
          <w:rFonts w:hint="eastAsia" w:ascii="黑体" w:hAnsi="黑体" w:eastAsia="黑体" w:cs="黑体"/>
          <w:szCs w:val="28"/>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2OTMyNGMyN2EzYzcxNDNmMDdlYzA4ZmI3ZmEyMmYifQ=="/>
  </w:docVars>
  <w:rsids>
    <w:rsidRoot w:val="001A7B02"/>
    <w:rsid w:val="00017647"/>
    <w:rsid w:val="0004529F"/>
    <w:rsid w:val="000526A7"/>
    <w:rsid w:val="00056071"/>
    <w:rsid w:val="00057926"/>
    <w:rsid w:val="0007681D"/>
    <w:rsid w:val="00092BFF"/>
    <w:rsid w:val="000C1714"/>
    <w:rsid w:val="000D7E29"/>
    <w:rsid w:val="000F5B0C"/>
    <w:rsid w:val="00104BFA"/>
    <w:rsid w:val="00107D1D"/>
    <w:rsid w:val="00116A03"/>
    <w:rsid w:val="00117D4A"/>
    <w:rsid w:val="00120129"/>
    <w:rsid w:val="001339DA"/>
    <w:rsid w:val="00136859"/>
    <w:rsid w:val="001508BB"/>
    <w:rsid w:val="00152C1B"/>
    <w:rsid w:val="00164386"/>
    <w:rsid w:val="00183E2A"/>
    <w:rsid w:val="00190800"/>
    <w:rsid w:val="00195508"/>
    <w:rsid w:val="001A7B02"/>
    <w:rsid w:val="001B3245"/>
    <w:rsid w:val="001D0BAB"/>
    <w:rsid w:val="001D690A"/>
    <w:rsid w:val="001E320E"/>
    <w:rsid w:val="00206748"/>
    <w:rsid w:val="00206BE6"/>
    <w:rsid w:val="00217384"/>
    <w:rsid w:val="00244F6B"/>
    <w:rsid w:val="00256111"/>
    <w:rsid w:val="00260250"/>
    <w:rsid w:val="00264AEA"/>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50937"/>
    <w:rsid w:val="00560079"/>
    <w:rsid w:val="00566289"/>
    <w:rsid w:val="005707BC"/>
    <w:rsid w:val="00577BD3"/>
    <w:rsid w:val="00582B63"/>
    <w:rsid w:val="005B2782"/>
    <w:rsid w:val="005B4F40"/>
    <w:rsid w:val="005D1714"/>
    <w:rsid w:val="005D2860"/>
    <w:rsid w:val="005D4856"/>
    <w:rsid w:val="005E13D2"/>
    <w:rsid w:val="00622324"/>
    <w:rsid w:val="00656DDF"/>
    <w:rsid w:val="006B4E81"/>
    <w:rsid w:val="006D644F"/>
    <w:rsid w:val="006E1324"/>
    <w:rsid w:val="00715E30"/>
    <w:rsid w:val="00740634"/>
    <w:rsid w:val="00741C77"/>
    <w:rsid w:val="00751C3E"/>
    <w:rsid w:val="00763218"/>
    <w:rsid w:val="00782B46"/>
    <w:rsid w:val="007912BB"/>
    <w:rsid w:val="007A3F71"/>
    <w:rsid w:val="007B3CDE"/>
    <w:rsid w:val="007F16E4"/>
    <w:rsid w:val="008062EA"/>
    <w:rsid w:val="008304B2"/>
    <w:rsid w:val="00845CD0"/>
    <w:rsid w:val="00875412"/>
    <w:rsid w:val="00876A2F"/>
    <w:rsid w:val="00890A78"/>
    <w:rsid w:val="008B1C57"/>
    <w:rsid w:val="008C2C73"/>
    <w:rsid w:val="008C4B44"/>
    <w:rsid w:val="008D01B1"/>
    <w:rsid w:val="008D1E80"/>
    <w:rsid w:val="008E3ECE"/>
    <w:rsid w:val="008E51FB"/>
    <w:rsid w:val="0090648C"/>
    <w:rsid w:val="00912696"/>
    <w:rsid w:val="009368AE"/>
    <w:rsid w:val="00940F2F"/>
    <w:rsid w:val="009558CC"/>
    <w:rsid w:val="00960072"/>
    <w:rsid w:val="009656B8"/>
    <w:rsid w:val="00981DD4"/>
    <w:rsid w:val="009A22DB"/>
    <w:rsid w:val="009A4FFC"/>
    <w:rsid w:val="009D0698"/>
    <w:rsid w:val="009F7251"/>
    <w:rsid w:val="00A12260"/>
    <w:rsid w:val="00A316E9"/>
    <w:rsid w:val="00A439DB"/>
    <w:rsid w:val="00A47955"/>
    <w:rsid w:val="00A60AED"/>
    <w:rsid w:val="00A67A48"/>
    <w:rsid w:val="00A71DB4"/>
    <w:rsid w:val="00A759F3"/>
    <w:rsid w:val="00A764C7"/>
    <w:rsid w:val="00A97151"/>
    <w:rsid w:val="00AA3AB8"/>
    <w:rsid w:val="00AB1B3D"/>
    <w:rsid w:val="00AC4197"/>
    <w:rsid w:val="00AD3A79"/>
    <w:rsid w:val="00AD4343"/>
    <w:rsid w:val="00AD4803"/>
    <w:rsid w:val="00AE0268"/>
    <w:rsid w:val="00AF6CC1"/>
    <w:rsid w:val="00B05FE0"/>
    <w:rsid w:val="00B13145"/>
    <w:rsid w:val="00B2226E"/>
    <w:rsid w:val="00B37A48"/>
    <w:rsid w:val="00B43024"/>
    <w:rsid w:val="00B63D2F"/>
    <w:rsid w:val="00B7264E"/>
    <w:rsid w:val="00B73ECA"/>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3B7E"/>
    <w:rsid w:val="00D05E53"/>
    <w:rsid w:val="00D21291"/>
    <w:rsid w:val="00D56782"/>
    <w:rsid w:val="00D61218"/>
    <w:rsid w:val="00D65D6D"/>
    <w:rsid w:val="00D75154"/>
    <w:rsid w:val="00D770A1"/>
    <w:rsid w:val="00DC1C8E"/>
    <w:rsid w:val="00DE15F0"/>
    <w:rsid w:val="00DF2608"/>
    <w:rsid w:val="00DF2E62"/>
    <w:rsid w:val="00E13111"/>
    <w:rsid w:val="00E22E17"/>
    <w:rsid w:val="00E24C8B"/>
    <w:rsid w:val="00E35B9B"/>
    <w:rsid w:val="00E44A33"/>
    <w:rsid w:val="00E555DD"/>
    <w:rsid w:val="00E5691F"/>
    <w:rsid w:val="00E77E26"/>
    <w:rsid w:val="00EB04E7"/>
    <w:rsid w:val="00ED021D"/>
    <w:rsid w:val="00ED5BEC"/>
    <w:rsid w:val="00EF4EB1"/>
    <w:rsid w:val="00F00172"/>
    <w:rsid w:val="00F00A7A"/>
    <w:rsid w:val="00F00D7F"/>
    <w:rsid w:val="00F50845"/>
    <w:rsid w:val="00F74377"/>
    <w:rsid w:val="00F81887"/>
    <w:rsid w:val="00F84A24"/>
    <w:rsid w:val="00F974DF"/>
    <w:rsid w:val="00FA0994"/>
    <w:rsid w:val="00FA1A6A"/>
    <w:rsid w:val="00FB06D1"/>
    <w:rsid w:val="00FE23A8"/>
    <w:rsid w:val="00FF014D"/>
    <w:rsid w:val="00FF7131"/>
    <w:rsid w:val="0C747C9D"/>
    <w:rsid w:val="10845D70"/>
    <w:rsid w:val="12543165"/>
    <w:rsid w:val="13651CF4"/>
    <w:rsid w:val="143475DF"/>
    <w:rsid w:val="15023C5D"/>
    <w:rsid w:val="32360906"/>
    <w:rsid w:val="33570447"/>
    <w:rsid w:val="33CB20BC"/>
    <w:rsid w:val="37A570EA"/>
    <w:rsid w:val="397751C0"/>
    <w:rsid w:val="46FD1837"/>
    <w:rsid w:val="4A137849"/>
    <w:rsid w:val="50594DE2"/>
    <w:rsid w:val="50B11800"/>
    <w:rsid w:val="50EE200C"/>
    <w:rsid w:val="5DD039A5"/>
    <w:rsid w:val="6F565B2A"/>
    <w:rsid w:val="70303AFA"/>
    <w:rsid w:val="72E47947"/>
    <w:rsid w:val="736949E6"/>
    <w:rsid w:val="737146DE"/>
    <w:rsid w:val="74DF71BB"/>
    <w:rsid w:val="78BF3313"/>
    <w:rsid w:val="7E8B6FD4"/>
    <w:rsid w:val="7EC95ED9"/>
    <w:rsid w:val="7FA46056"/>
    <w:rsid w:val="7FC77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0"/>
    <w:unhideWhenUsed/>
    <w:qFormat/>
    <w:uiPriority w:val="9"/>
    <w:pPr>
      <w:widowControl/>
      <w:spacing w:before="160" w:after="160" w:line="415" w:lineRule="auto"/>
      <w:jc w:val="left"/>
      <w:outlineLvl w:val="1"/>
    </w:pPr>
    <w:rPr>
      <w:rFonts w:eastAsia="宋体" w:asciiTheme="majorHAnsi" w:hAnsiTheme="majorHAnsi" w:cstheme="majorBidi"/>
      <w:b/>
      <w:bCs/>
      <w:kern w:val="0"/>
      <w:sz w:val="28"/>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link w:val="11"/>
    <w:unhideWhenUsed/>
    <w:qFormat/>
    <w:uiPriority w:val="99"/>
    <w:pPr>
      <w:widowControl/>
      <w:tabs>
        <w:tab w:val="center" w:pos="4153"/>
        <w:tab w:val="right" w:pos="8306"/>
      </w:tabs>
      <w:snapToGrid w:val="0"/>
      <w:jc w:val="left"/>
    </w:pPr>
    <w:rPr>
      <w:rFonts w:ascii="宋体" w:hAnsi="宋体" w:eastAsia="宋体" w:cs="宋体"/>
      <w:kern w:val="0"/>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2"/>
    <w:basedOn w:val="1"/>
    <w:next w:val="1"/>
    <w:autoRedefine/>
    <w:unhideWhenUsed/>
    <w:qFormat/>
    <w:uiPriority w:val="39"/>
    <w:pPr>
      <w:widowControl/>
      <w:tabs>
        <w:tab w:val="right" w:leader="dot" w:pos="8290"/>
      </w:tabs>
      <w:spacing w:line="480" w:lineRule="auto"/>
      <w:ind w:left="240"/>
      <w:jc w:val="left"/>
    </w:pPr>
    <w:rPr>
      <w:rFonts w:ascii="仿宋_GB2312" w:hAnsi="宋体" w:eastAsia="仿宋_GB2312" w:cs="宋体"/>
      <w:b/>
      <w:smallCaps/>
      <w:kern w:val="0"/>
      <w:sz w:val="28"/>
      <w:szCs w:val="2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标题 2 字符"/>
    <w:basedOn w:val="8"/>
    <w:link w:val="2"/>
    <w:autoRedefine/>
    <w:qFormat/>
    <w:uiPriority w:val="9"/>
    <w:rPr>
      <w:rFonts w:eastAsia="宋体" w:asciiTheme="majorHAnsi" w:hAnsiTheme="majorHAnsi" w:cstheme="majorBidi"/>
      <w:b/>
      <w:bCs/>
      <w:kern w:val="0"/>
      <w:sz w:val="28"/>
      <w:szCs w:val="32"/>
    </w:rPr>
  </w:style>
  <w:style w:type="character" w:customStyle="1" w:styleId="11">
    <w:name w:val="页脚 字符"/>
    <w:basedOn w:val="8"/>
    <w:link w:val="3"/>
    <w:autoRedefine/>
    <w:qFormat/>
    <w:uiPriority w:val="99"/>
    <w:rPr>
      <w:rFonts w:ascii="宋体" w:hAnsi="宋体" w:eastAsia="宋体" w:cs="宋体"/>
      <w:kern w:val="0"/>
      <w:sz w:val="18"/>
      <w:szCs w:val="18"/>
    </w:rPr>
  </w:style>
  <w:style w:type="paragraph" w:styleId="12">
    <w:name w:val="List Paragraph"/>
    <w:basedOn w:val="1"/>
    <w:autoRedefine/>
    <w:qFormat/>
    <w:uiPriority w:val="34"/>
    <w:pPr>
      <w:widowControl/>
      <w:spacing w:line="300" w:lineRule="auto"/>
      <w:ind w:firstLine="420" w:firstLineChars="200"/>
      <w:jc w:val="left"/>
    </w:pPr>
    <w:rPr>
      <w:rFonts w:ascii="宋体" w:hAnsi="宋体" w:eastAsia="宋体" w:cs="宋体"/>
      <w:kern w:val="0"/>
      <w:sz w:val="24"/>
    </w:rPr>
  </w:style>
  <w:style w:type="character" w:customStyle="1" w:styleId="13">
    <w:name w:val="页眉 字符"/>
    <w:basedOn w:val="8"/>
    <w:link w:val="4"/>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542</Words>
  <Characters>3090</Characters>
  <Lines>25</Lines>
  <Paragraphs>7</Paragraphs>
  <TotalTime>2</TotalTime>
  <ScaleCrop>false</ScaleCrop>
  <LinksUpToDate>false</LinksUpToDate>
  <CharactersWithSpaces>3625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2024-03-22T13:00:00Z</dcterms:created>
  <dc:creator>周 小蕾</dc:creator>
  <cp:lastModifiedBy>郸北路</cp:lastModifiedBy>
  <dcterms:modified xsi:type="dcterms:W3CDTF">2024-03-25T08:09:53Z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4FEDD35DFD31498FA679751DF884AD21_13</vt:lpwstr>
  </property>
</Properties>
</file>